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F93A" w14:textId="77777777" w:rsidR="00CD2F8E" w:rsidRPr="004E53F9" w:rsidRDefault="00CD2F8E" w:rsidP="00CD2F8E">
      <w:pPr>
        <w:spacing w:after="280"/>
        <w:rPr>
          <w:b/>
          <w:color w:val="00B0F0"/>
          <w:lang w:val="en-GB"/>
        </w:rPr>
      </w:pPr>
    </w:p>
    <w:p w14:paraId="7F1404B4" w14:textId="77777777" w:rsidR="000735FA" w:rsidRPr="004E53F9" w:rsidRDefault="000735FA" w:rsidP="00CD2F8E">
      <w:pPr>
        <w:spacing w:after="280"/>
        <w:rPr>
          <w:b/>
          <w:color w:val="00B0F0"/>
          <w:lang w:val="en-GB"/>
        </w:rPr>
      </w:pPr>
    </w:p>
    <w:p w14:paraId="3E05570A" w14:textId="77777777" w:rsidR="000735FA" w:rsidRPr="004E53F9" w:rsidRDefault="000F4058" w:rsidP="000735FA">
      <w:pPr>
        <w:pStyle w:val="Heading1"/>
        <w:jc w:val="center"/>
        <w:rPr>
          <w:rFonts w:ascii="Calibri" w:eastAsia="Calibri" w:hAnsi="Calibri" w:cs="Calibri"/>
          <w:b/>
          <w:color w:val="auto"/>
          <w:lang w:val="en-GB"/>
        </w:rPr>
      </w:pPr>
      <w:r w:rsidRPr="004E53F9">
        <w:rPr>
          <w:rFonts w:ascii="Calibri" w:eastAsia="Calibri" w:hAnsi="Calibri" w:cs="Calibri"/>
          <w:b/>
          <w:noProof/>
          <w:color w:val="auto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E314874" wp14:editId="73B577F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92000" cy="2523600"/>
            <wp:effectExtent l="0" t="0" r="3810" b="0"/>
            <wp:wrapSquare wrapText="bothSides"/>
            <wp:docPr id="1026" name="Picture 2" descr="Kuvahaun tulos haulle francesco maffi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Kuvahaun tulos haulle francesco maffiol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25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8F8F7" w14:textId="77777777" w:rsidR="000735FA" w:rsidRPr="004E53F9" w:rsidRDefault="000735FA" w:rsidP="000735FA">
      <w:pPr>
        <w:pStyle w:val="Heading1"/>
        <w:jc w:val="center"/>
        <w:rPr>
          <w:rFonts w:ascii="Calibri" w:eastAsia="Calibri" w:hAnsi="Calibri" w:cs="Calibri"/>
          <w:b/>
          <w:color w:val="auto"/>
          <w:lang w:val="en-GB"/>
        </w:rPr>
      </w:pPr>
    </w:p>
    <w:p w14:paraId="1DA40FDF" w14:textId="77777777" w:rsidR="000735FA" w:rsidRPr="004E53F9" w:rsidRDefault="000735FA" w:rsidP="000735FA">
      <w:pPr>
        <w:pStyle w:val="Heading1"/>
        <w:jc w:val="center"/>
        <w:rPr>
          <w:rFonts w:asciiTheme="minorHAnsi" w:eastAsia="Calibri" w:hAnsiTheme="minorHAnsi" w:cs="Calibri"/>
          <w:b/>
          <w:color w:val="auto"/>
          <w:lang w:val="en-GB"/>
        </w:rPr>
      </w:pPr>
      <w:r w:rsidRPr="004E53F9">
        <w:rPr>
          <w:rFonts w:asciiTheme="minorHAnsi" w:eastAsia="Calibri" w:hAnsiTheme="minorHAnsi" w:cs="Calibri"/>
          <w:b/>
          <w:color w:val="auto"/>
          <w:lang w:val="en-GB"/>
        </w:rPr>
        <w:t>The SEFI Francesco Maffioli Award of Excellence</w:t>
      </w:r>
      <w:r w:rsidR="005F2C8E" w:rsidRPr="004E53F9">
        <w:rPr>
          <w:rFonts w:asciiTheme="minorHAnsi" w:eastAsia="Calibri" w:hAnsiTheme="minorHAnsi" w:cs="Calibri"/>
          <w:b/>
          <w:color w:val="auto"/>
          <w:lang w:val="en-GB"/>
        </w:rPr>
        <w:t xml:space="preserve"> </w:t>
      </w:r>
      <w:r w:rsidRPr="004E53F9">
        <w:rPr>
          <w:rFonts w:asciiTheme="minorHAnsi" w:eastAsia="Calibri" w:hAnsiTheme="minorHAnsi" w:cs="Calibri"/>
          <w:b/>
          <w:color w:val="auto"/>
          <w:lang w:val="en-GB"/>
        </w:rPr>
        <w:t>for Developing Learning and</w:t>
      </w:r>
      <w:r w:rsidRPr="004E53F9">
        <w:rPr>
          <w:rFonts w:asciiTheme="minorHAnsi" w:hAnsiTheme="minorHAnsi"/>
          <w:b/>
          <w:color w:val="auto"/>
          <w:lang w:val="en-GB"/>
        </w:rPr>
        <w:t xml:space="preserve"> Teaching </w:t>
      </w:r>
      <w:r w:rsidRPr="004E53F9">
        <w:rPr>
          <w:rFonts w:asciiTheme="minorHAnsi" w:eastAsia="Calibri" w:hAnsiTheme="minorHAnsi" w:cs="Calibri"/>
          <w:b/>
          <w:color w:val="auto"/>
          <w:lang w:val="en-GB"/>
        </w:rPr>
        <w:t>in Engineering Education</w:t>
      </w:r>
    </w:p>
    <w:p w14:paraId="3A01A678" w14:textId="77777777" w:rsidR="00302575" w:rsidRPr="004E53F9" w:rsidRDefault="00302575" w:rsidP="009C31D7">
      <w:pPr>
        <w:rPr>
          <w:b/>
          <w:sz w:val="28"/>
          <w:szCs w:val="28"/>
          <w:lang w:val="en-GB" w:bidi="en-US"/>
        </w:rPr>
      </w:pPr>
    </w:p>
    <w:p w14:paraId="6C5C15DE" w14:textId="77777777" w:rsidR="000735FA" w:rsidRPr="004E53F9" w:rsidRDefault="000735FA" w:rsidP="009C31D7">
      <w:pPr>
        <w:rPr>
          <w:b/>
          <w:sz w:val="28"/>
          <w:szCs w:val="28"/>
          <w:lang w:val="en-GB" w:bidi="en-US"/>
        </w:rPr>
      </w:pPr>
    </w:p>
    <w:p w14:paraId="23BFE268" w14:textId="77777777" w:rsidR="000735FA" w:rsidRPr="004E53F9" w:rsidRDefault="000735FA" w:rsidP="000735FA">
      <w:pPr>
        <w:rPr>
          <w:b/>
          <w:sz w:val="28"/>
          <w:szCs w:val="28"/>
          <w:lang w:val="en-GB" w:bidi="en-US"/>
        </w:rPr>
      </w:pPr>
    </w:p>
    <w:p w14:paraId="135D73E5" w14:textId="77777777" w:rsidR="000F4058" w:rsidRPr="004E53F9" w:rsidRDefault="000F4058" w:rsidP="000735FA">
      <w:pPr>
        <w:rPr>
          <w:i/>
          <w:sz w:val="24"/>
          <w:szCs w:val="24"/>
          <w:lang w:val="en-GB" w:bidi="en-US"/>
        </w:rPr>
      </w:pPr>
    </w:p>
    <w:p w14:paraId="0333CFF1" w14:textId="77777777" w:rsidR="005F2C8E" w:rsidRPr="004E53F9" w:rsidRDefault="005F2C8E" w:rsidP="000F4058">
      <w:pPr>
        <w:jc w:val="center"/>
        <w:rPr>
          <w:sz w:val="24"/>
          <w:szCs w:val="24"/>
          <w:lang w:val="en-GB" w:bidi="en-US"/>
        </w:rPr>
      </w:pPr>
    </w:p>
    <w:p w14:paraId="75BD096B" w14:textId="77777777" w:rsidR="005F2C8E" w:rsidRPr="004E53F9" w:rsidRDefault="005F2C8E" w:rsidP="000F4058">
      <w:pPr>
        <w:jc w:val="center"/>
        <w:rPr>
          <w:sz w:val="24"/>
          <w:szCs w:val="24"/>
          <w:lang w:val="en-GB" w:bidi="en-US"/>
        </w:rPr>
      </w:pPr>
    </w:p>
    <w:p w14:paraId="701F48E7" w14:textId="61B0E758" w:rsidR="000735FA" w:rsidRPr="004E53F9" w:rsidRDefault="000735FA" w:rsidP="000F4058">
      <w:pPr>
        <w:jc w:val="center"/>
        <w:rPr>
          <w:sz w:val="24"/>
          <w:szCs w:val="24"/>
          <w:lang w:val="en-GB" w:bidi="en-US"/>
        </w:rPr>
      </w:pPr>
      <w:r w:rsidRPr="004E53F9">
        <w:rPr>
          <w:sz w:val="24"/>
          <w:szCs w:val="24"/>
          <w:lang w:val="en-GB" w:bidi="en-US"/>
        </w:rPr>
        <w:t xml:space="preserve">The SEFI Francesco Maffioli Award, launched by SEFI to commemorate its </w:t>
      </w:r>
      <w:r w:rsidR="000F4058" w:rsidRPr="004E53F9">
        <w:rPr>
          <w:sz w:val="24"/>
          <w:szCs w:val="24"/>
          <w:lang w:val="en-GB" w:bidi="en-US"/>
        </w:rPr>
        <w:t>late</w:t>
      </w:r>
      <w:r w:rsidRPr="004E53F9">
        <w:rPr>
          <w:sz w:val="24"/>
          <w:szCs w:val="24"/>
          <w:lang w:val="en-GB" w:bidi="en-US"/>
        </w:rPr>
        <w:t xml:space="preserve"> President Prof. Francesco Maffioli (</w:t>
      </w:r>
      <w:proofErr w:type="spellStart"/>
      <w:r w:rsidRPr="004E53F9">
        <w:rPr>
          <w:sz w:val="24"/>
          <w:szCs w:val="24"/>
          <w:lang w:val="en-GB" w:bidi="en-US"/>
        </w:rPr>
        <w:t>Politecnico</w:t>
      </w:r>
      <w:proofErr w:type="spellEnd"/>
      <w:r w:rsidRPr="004E53F9">
        <w:rPr>
          <w:sz w:val="24"/>
          <w:szCs w:val="24"/>
          <w:lang w:val="en-GB" w:bidi="en-US"/>
        </w:rPr>
        <w:t xml:space="preserve"> d</w:t>
      </w:r>
      <w:r w:rsidR="00232FE5">
        <w:rPr>
          <w:sz w:val="24"/>
          <w:szCs w:val="24"/>
          <w:lang w:val="en-GB" w:bidi="en-US"/>
        </w:rPr>
        <w:t>i</w:t>
      </w:r>
      <w:r w:rsidRPr="004E53F9">
        <w:rPr>
          <w:sz w:val="24"/>
          <w:szCs w:val="24"/>
          <w:lang w:val="en-GB" w:bidi="en-US"/>
        </w:rPr>
        <w:t xml:space="preserve"> Milano)</w:t>
      </w:r>
      <w:r w:rsidR="005F2C8E" w:rsidRPr="004E53F9">
        <w:rPr>
          <w:sz w:val="24"/>
          <w:szCs w:val="24"/>
          <w:lang w:val="en-GB" w:bidi="en-US"/>
        </w:rPr>
        <w:t>,</w:t>
      </w:r>
      <w:r w:rsidRPr="004E53F9">
        <w:rPr>
          <w:sz w:val="24"/>
          <w:szCs w:val="24"/>
          <w:lang w:val="en-GB" w:bidi="en-US"/>
        </w:rPr>
        <w:t xml:space="preserve"> is given by SEFI</w:t>
      </w:r>
      <w:r w:rsidR="005F2C8E" w:rsidRPr="004E53F9">
        <w:rPr>
          <w:sz w:val="24"/>
          <w:szCs w:val="24"/>
          <w:lang w:val="en-GB" w:bidi="en-US"/>
        </w:rPr>
        <w:t xml:space="preserve">, </w:t>
      </w:r>
      <w:r w:rsidR="00DB4C3E">
        <w:rPr>
          <w:sz w:val="24"/>
          <w:szCs w:val="24"/>
          <w:lang w:val="en-GB" w:bidi="en-US"/>
        </w:rPr>
        <w:t>the European Society for Engineering Education</w:t>
      </w:r>
      <w:r w:rsidR="005F2C8E" w:rsidRPr="004E53F9">
        <w:rPr>
          <w:sz w:val="24"/>
          <w:szCs w:val="24"/>
          <w:lang w:val="en-GB" w:bidi="en-US"/>
        </w:rPr>
        <w:t xml:space="preserve">, </w:t>
      </w:r>
      <w:r w:rsidRPr="004E53F9">
        <w:rPr>
          <w:sz w:val="24"/>
          <w:szCs w:val="24"/>
          <w:lang w:val="en-GB" w:bidi="en-US"/>
        </w:rPr>
        <w:t xml:space="preserve">to </w:t>
      </w:r>
      <w:r w:rsidR="00834B3B">
        <w:rPr>
          <w:sz w:val="24"/>
          <w:szCs w:val="24"/>
          <w:lang w:val="en-GB" w:bidi="en-US"/>
        </w:rPr>
        <w:t xml:space="preserve">an </w:t>
      </w:r>
      <w:r w:rsidRPr="004E53F9">
        <w:rPr>
          <w:sz w:val="24"/>
          <w:szCs w:val="24"/>
          <w:lang w:val="en-GB" w:bidi="en-US"/>
        </w:rPr>
        <w:t xml:space="preserve">individual </w:t>
      </w:r>
      <w:r w:rsidR="002A0D85">
        <w:rPr>
          <w:sz w:val="24"/>
          <w:szCs w:val="24"/>
          <w:lang w:val="en-GB" w:bidi="en-US"/>
        </w:rPr>
        <w:t xml:space="preserve">or a team of educators and/or education </w:t>
      </w:r>
      <w:r w:rsidR="00834B3B">
        <w:rPr>
          <w:sz w:val="24"/>
          <w:szCs w:val="24"/>
          <w:lang w:val="en-GB" w:bidi="en-US"/>
        </w:rPr>
        <w:t xml:space="preserve">developers </w:t>
      </w:r>
      <w:r w:rsidRPr="004E53F9">
        <w:rPr>
          <w:sz w:val="24"/>
          <w:szCs w:val="24"/>
          <w:lang w:val="en-GB" w:bidi="en-US"/>
        </w:rPr>
        <w:t>of higher engineering education institutions members of SEFI</w:t>
      </w:r>
      <w:r w:rsidR="005F2C8E" w:rsidRPr="004E53F9">
        <w:rPr>
          <w:sz w:val="24"/>
          <w:szCs w:val="24"/>
          <w:lang w:val="en-GB" w:bidi="en-US"/>
        </w:rPr>
        <w:t>,</w:t>
      </w:r>
      <w:r w:rsidRPr="004E53F9">
        <w:rPr>
          <w:sz w:val="24"/>
          <w:szCs w:val="24"/>
          <w:lang w:val="en-GB" w:bidi="en-US"/>
        </w:rPr>
        <w:t xml:space="preserve"> in recognition of </w:t>
      </w:r>
      <w:r w:rsidRPr="004E53F9">
        <w:rPr>
          <w:b/>
          <w:sz w:val="24"/>
          <w:szCs w:val="24"/>
          <w:lang w:val="en-GB" w:bidi="en-US"/>
        </w:rPr>
        <w:t>open-minded development of curriculum, learning environments or tools, novel didactics, methods or systems in engineering studies</w:t>
      </w:r>
      <w:r w:rsidRPr="004E53F9">
        <w:rPr>
          <w:sz w:val="24"/>
          <w:szCs w:val="24"/>
          <w:lang w:val="en-GB" w:bidi="en-US"/>
        </w:rPr>
        <w:t>.</w:t>
      </w:r>
    </w:p>
    <w:p w14:paraId="7B3CC093" w14:textId="77777777" w:rsidR="000735FA" w:rsidRPr="004E53F9" w:rsidRDefault="000735FA" w:rsidP="000F4058">
      <w:pPr>
        <w:jc w:val="center"/>
        <w:rPr>
          <w:bCs/>
          <w:sz w:val="24"/>
          <w:szCs w:val="24"/>
          <w:lang w:val="en-GB" w:bidi="en-US"/>
        </w:rPr>
      </w:pPr>
    </w:p>
    <w:p w14:paraId="7A390025" w14:textId="77777777" w:rsidR="00B425F2" w:rsidRDefault="000735FA" w:rsidP="000F4058">
      <w:pPr>
        <w:jc w:val="center"/>
        <w:rPr>
          <w:sz w:val="24"/>
          <w:szCs w:val="24"/>
          <w:lang w:val="en-GB" w:bidi="en-US"/>
        </w:rPr>
      </w:pPr>
      <w:r w:rsidRPr="004E53F9">
        <w:rPr>
          <w:b/>
          <w:sz w:val="24"/>
          <w:szCs w:val="24"/>
          <w:lang w:val="en-GB" w:bidi="en-US"/>
        </w:rPr>
        <w:t>Only SEFI institutional members can nominate awardees</w:t>
      </w:r>
      <w:r w:rsidRPr="004E53F9">
        <w:rPr>
          <w:sz w:val="24"/>
          <w:szCs w:val="24"/>
          <w:lang w:val="en-GB" w:bidi="en-US"/>
        </w:rPr>
        <w:t>.</w:t>
      </w:r>
    </w:p>
    <w:p w14:paraId="64B4AE94" w14:textId="710AD59F" w:rsidR="000735FA" w:rsidRPr="004E53F9" w:rsidRDefault="00834B3B" w:rsidP="002A0D85">
      <w:pPr>
        <w:jc w:val="center"/>
        <w:rPr>
          <w:sz w:val="24"/>
          <w:szCs w:val="24"/>
          <w:lang w:val="en-GB" w:bidi="en-US"/>
        </w:rPr>
      </w:pPr>
      <w:hyperlink r:id="rId12" w:history="1">
        <w:r w:rsidRPr="00834B3B">
          <w:rPr>
            <w:rStyle w:val="Hyperlink"/>
            <w:sz w:val="24"/>
            <w:szCs w:val="24"/>
            <w:lang w:val="en-GB" w:bidi="en-US"/>
          </w:rPr>
          <w:t>Meet</w:t>
        </w:r>
        <w:r w:rsidR="00B425F2" w:rsidRPr="00834B3B">
          <w:rPr>
            <w:rStyle w:val="Hyperlink"/>
            <w:sz w:val="24"/>
            <w:szCs w:val="24"/>
            <w:lang w:val="en-GB" w:bidi="en-US"/>
          </w:rPr>
          <w:t xml:space="preserve"> Last Year’s Winner</w:t>
        </w:r>
        <w:r w:rsidRPr="00834B3B">
          <w:rPr>
            <w:rStyle w:val="Hyperlink"/>
            <w:sz w:val="24"/>
            <w:szCs w:val="24"/>
            <w:lang w:val="en-GB" w:bidi="en-US"/>
          </w:rPr>
          <w:t>:</w:t>
        </w:r>
        <w:r w:rsidR="007931CE" w:rsidRPr="00834B3B">
          <w:rPr>
            <w:rStyle w:val="Hyperlink"/>
            <w:sz w:val="24"/>
            <w:szCs w:val="24"/>
            <w:lang w:val="en-GB" w:bidi="en-US"/>
          </w:rPr>
          <w:t xml:space="preserve"> </w:t>
        </w:r>
        <w:r w:rsidR="002A0D85" w:rsidRPr="00834B3B">
          <w:rPr>
            <w:rStyle w:val="Hyperlink"/>
            <w:sz w:val="24"/>
            <w:szCs w:val="24"/>
            <w:lang w:val="en-GB" w:bidi="en-US"/>
          </w:rPr>
          <w:t>Dr. Ir. Volkert van Steijn</w:t>
        </w:r>
        <w:r w:rsidR="007931CE" w:rsidRPr="00834B3B">
          <w:rPr>
            <w:rStyle w:val="Hyperlink"/>
            <w:sz w:val="24"/>
            <w:szCs w:val="24"/>
            <w:lang w:val="en-GB" w:bidi="en-US"/>
          </w:rPr>
          <w:t xml:space="preserve"> and </w:t>
        </w:r>
        <w:r w:rsidR="002A0D85" w:rsidRPr="00834B3B">
          <w:rPr>
            <w:rStyle w:val="Hyperlink"/>
            <w:sz w:val="24"/>
            <w:szCs w:val="24"/>
            <w:lang w:val="en-GB" w:bidi="en-US"/>
          </w:rPr>
          <w:t xml:space="preserve">his </w:t>
        </w:r>
        <w:r w:rsidR="007931CE" w:rsidRPr="00834B3B">
          <w:rPr>
            <w:rStyle w:val="Hyperlink"/>
            <w:sz w:val="24"/>
            <w:szCs w:val="24"/>
            <w:lang w:val="en-GB" w:bidi="en-US"/>
          </w:rPr>
          <w:t>team.</w:t>
        </w:r>
      </w:hyperlink>
      <w:r w:rsidR="000735FA" w:rsidRPr="004E53F9">
        <w:rPr>
          <w:sz w:val="24"/>
          <w:szCs w:val="24"/>
          <w:lang w:val="en-GB" w:bidi="en-US"/>
        </w:rPr>
        <w:br/>
      </w:r>
      <w:r w:rsidR="000735FA" w:rsidRPr="004E53F9">
        <w:rPr>
          <w:sz w:val="24"/>
          <w:szCs w:val="24"/>
          <w:lang w:val="en-GB" w:bidi="en-US"/>
        </w:rPr>
        <w:br/>
        <w:t xml:space="preserve">The award consists </w:t>
      </w:r>
      <w:r w:rsidR="002A0D85">
        <w:rPr>
          <w:sz w:val="24"/>
          <w:szCs w:val="24"/>
          <w:lang w:val="en-GB" w:bidi="en-US"/>
        </w:rPr>
        <w:t>of</w:t>
      </w:r>
      <w:r w:rsidR="000735FA" w:rsidRPr="004E53F9">
        <w:rPr>
          <w:sz w:val="24"/>
          <w:szCs w:val="24"/>
          <w:lang w:val="en-GB" w:bidi="en-US"/>
        </w:rPr>
        <w:t xml:space="preserve"> a </w:t>
      </w:r>
      <w:r w:rsidR="002A0D85">
        <w:rPr>
          <w:sz w:val="24"/>
          <w:szCs w:val="24"/>
          <w:lang w:val="en-GB" w:bidi="en-US"/>
        </w:rPr>
        <w:t xml:space="preserve">formal </w:t>
      </w:r>
      <w:r w:rsidR="000735FA" w:rsidRPr="004E53F9">
        <w:rPr>
          <w:sz w:val="24"/>
          <w:szCs w:val="24"/>
          <w:lang w:val="en-GB" w:bidi="en-US"/>
        </w:rPr>
        <w:t>presentation at the SEFI Annual Conference and free registration to attend the conference (</w:t>
      </w:r>
      <w:r w:rsidR="000735FA" w:rsidRPr="004E53F9">
        <w:rPr>
          <w:i/>
          <w:sz w:val="24"/>
          <w:szCs w:val="24"/>
          <w:lang w:val="en-GB" w:bidi="en-US"/>
        </w:rPr>
        <w:t>one person, if a team</w:t>
      </w:r>
      <w:r w:rsidR="007931CE">
        <w:rPr>
          <w:sz w:val="24"/>
          <w:szCs w:val="24"/>
          <w:lang w:val="en-GB" w:bidi="en-US"/>
        </w:rPr>
        <w:t>).</w:t>
      </w:r>
    </w:p>
    <w:p w14:paraId="029A4241" w14:textId="77777777" w:rsidR="000F4058" w:rsidRPr="004E53F9" w:rsidRDefault="000F4058" w:rsidP="000F4058">
      <w:pPr>
        <w:jc w:val="center"/>
        <w:rPr>
          <w:sz w:val="24"/>
          <w:szCs w:val="24"/>
          <w:lang w:val="en-GB" w:bidi="en-US"/>
        </w:rPr>
      </w:pPr>
    </w:p>
    <w:p w14:paraId="72EC6CF6" w14:textId="419CA01D" w:rsidR="000F4058" w:rsidRPr="00834B3B" w:rsidRDefault="000F4058" w:rsidP="000F4058">
      <w:pPr>
        <w:jc w:val="center"/>
        <w:rPr>
          <w:sz w:val="24"/>
          <w:szCs w:val="24"/>
          <w:lang w:val="en-GB" w:bidi="en-US"/>
        </w:rPr>
      </w:pPr>
      <w:r w:rsidRPr="00834B3B">
        <w:rPr>
          <w:sz w:val="24"/>
          <w:szCs w:val="24"/>
          <w:lang w:val="en-GB" w:bidi="en-US"/>
        </w:rPr>
        <w:t xml:space="preserve">The Chair of the </w:t>
      </w:r>
      <w:r w:rsidR="004E53F9" w:rsidRPr="00834B3B">
        <w:rPr>
          <w:sz w:val="24"/>
          <w:szCs w:val="24"/>
          <w:lang w:val="en-GB" w:bidi="en-US"/>
        </w:rPr>
        <w:t>202</w:t>
      </w:r>
      <w:r w:rsidR="002A0D85" w:rsidRPr="00834B3B">
        <w:rPr>
          <w:sz w:val="24"/>
          <w:szCs w:val="24"/>
          <w:lang w:val="en-GB" w:bidi="en-US"/>
        </w:rPr>
        <w:t>5</w:t>
      </w:r>
      <w:r w:rsidRPr="00834B3B">
        <w:rPr>
          <w:sz w:val="24"/>
          <w:szCs w:val="24"/>
          <w:lang w:val="en-GB" w:bidi="en-US"/>
        </w:rPr>
        <w:t xml:space="preserve"> Francesco Maffioli Award is </w:t>
      </w:r>
      <w:r w:rsidR="002A0D85" w:rsidRPr="00834B3B">
        <w:rPr>
          <w:sz w:val="24"/>
          <w:szCs w:val="24"/>
          <w:lang w:val="en-GB" w:bidi="en-US"/>
        </w:rPr>
        <w:t xml:space="preserve">Dr </w:t>
      </w:r>
      <w:r w:rsidR="002A0D85" w:rsidRPr="00834B3B">
        <w:rPr>
          <w:color w:val="000000"/>
          <w:sz w:val="24"/>
          <w:szCs w:val="24"/>
        </w:rPr>
        <w:t>Johanna Naukkarinen</w:t>
      </w:r>
      <w:r w:rsidR="002A0D85" w:rsidRPr="00834B3B">
        <w:rPr>
          <w:sz w:val="24"/>
          <w:szCs w:val="24"/>
          <w:lang w:val="en-GB" w:bidi="en-US"/>
        </w:rPr>
        <w:t>, LUT University,</w:t>
      </w:r>
      <w:r w:rsidRPr="00834B3B">
        <w:rPr>
          <w:sz w:val="24"/>
          <w:szCs w:val="24"/>
          <w:lang w:val="en-GB" w:bidi="en-US"/>
        </w:rPr>
        <w:t xml:space="preserve"> member of SEFI Board of Directors</w:t>
      </w:r>
      <w:r w:rsidR="005F2C8E" w:rsidRPr="00834B3B">
        <w:rPr>
          <w:sz w:val="24"/>
          <w:szCs w:val="24"/>
          <w:lang w:val="en-GB" w:bidi="en-US"/>
        </w:rPr>
        <w:t>.</w:t>
      </w:r>
    </w:p>
    <w:p w14:paraId="731CFFCB" w14:textId="77777777" w:rsidR="000F4058" w:rsidRPr="004E53F9" w:rsidRDefault="000F4058" w:rsidP="000F4058">
      <w:pPr>
        <w:jc w:val="center"/>
        <w:rPr>
          <w:sz w:val="24"/>
          <w:szCs w:val="24"/>
          <w:lang w:val="en-GB" w:bidi="en-US"/>
        </w:rPr>
      </w:pPr>
    </w:p>
    <w:p w14:paraId="3A8E0B34" w14:textId="508B0F1A" w:rsidR="000F4058" w:rsidRPr="004E53F9" w:rsidRDefault="000F4058" w:rsidP="000F4058">
      <w:pPr>
        <w:jc w:val="center"/>
        <w:rPr>
          <w:sz w:val="24"/>
          <w:szCs w:val="24"/>
          <w:lang w:val="en-GB" w:bidi="en-US"/>
        </w:rPr>
      </w:pPr>
      <w:r w:rsidRPr="004E53F9">
        <w:rPr>
          <w:sz w:val="24"/>
          <w:szCs w:val="24"/>
          <w:lang w:val="en-GB" w:bidi="en-US"/>
        </w:rPr>
        <w:t xml:space="preserve">Nominations must be sent to </w:t>
      </w:r>
      <w:r w:rsidR="002A0D85">
        <w:rPr>
          <w:sz w:val="24"/>
          <w:szCs w:val="24"/>
          <w:lang w:val="en-GB" w:bidi="en-US"/>
        </w:rPr>
        <w:t>Dr Naukkarinen</w:t>
      </w:r>
      <w:r w:rsidRPr="004E53F9">
        <w:rPr>
          <w:sz w:val="24"/>
          <w:szCs w:val="24"/>
          <w:lang w:val="en-GB" w:bidi="en-US"/>
        </w:rPr>
        <w:t xml:space="preserve">, </w:t>
      </w:r>
      <w:hyperlink r:id="rId13" w:history="1">
        <w:r w:rsidR="00E4403A" w:rsidRPr="00697660">
          <w:rPr>
            <w:rStyle w:val="Hyperlink"/>
          </w:rPr>
          <w:t>johanna.naukkarinen@lut.fi</w:t>
        </w:r>
      </w:hyperlink>
      <w:r w:rsidRPr="004E53F9">
        <w:rPr>
          <w:sz w:val="24"/>
          <w:szCs w:val="24"/>
          <w:lang w:val="en-GB" w:bidi="en-US"/>
        </w:rPr>
        <w:t xml:space="preserve">, </w:t>
      </w:r>
    </w:p>
    <w:p w14:paraId="7650987D" w14:textId="22FF32BD" w:rsidR="000F4058" w:rsidRPr="004E53F9" w:rsidRDefault="000F4058" w:rsidP="000F4058">
      <w:pPr>
        <w:jc w:val="center"/>
        <w:rPr>
          <w:sz w:val="24"/>
          <w:szCs w:val="24"/>
          <w:lang w:val="en-GB" w:bidi="en-US"/>
        </w:rPr>
      </w:pPr>
      <w:r w:rsidRPr="004E53F9">
        <w:rPr>
          <w:sz w:val="24"/>
          <w:szCs w:val="24"/>
          <w:lang w:val="en-GB" w:bidi="en-US"/>
        </w:rPr>
        <w:t xml:space="preserve">with copy to SEFI </w:t>
      </w:r>
      <w:r w:rsidR="00171045">
        <w:rPr>
          <w:sz w:val="24"/>
          <w:szCs w:val="24"/>
          <w:lang w:val="en-GB" w:bidi="en-US"/>
        </w:rPr>
        <w:t>HQ</w:t>
      </w:r>
      <w:r w:rsidRPr="004E53F9">
        <w:rPr>
          <w:sz w:val="24"/>
          <w:szCs w:val="24"/>
          <w:lang w:val="en-GB" w:bidi="en-US"/>
        </w:rPr>
        <w:t xml:space="preserve">, </w:t>
      </w:r>
      <w:r w:rsidR="00B425F2">
        <w:rPr>
          <w:sz w:val="24"/>
          <w:szCs w:val="24"/>
          <w:lang w:val="en-GB" w:bidi="en-US"/>
        </w:rPr>
        <w:t>office</w:t>
      </w:r>
      <w:r w:rsidRPr="004E53F9">
        <w:rPr>
          <w:sz w:val="24"/>
          <w:szCs w:val="24"/>
          <w:lang w:val="en-GB" w:bidi="en-US"/>
        </w:rPr>
        <w:t>@sefi.be</w:t>
      </w:r>
    </w:p>
    <w:p w14:paraId="0CF6E202" w14:textId="77777777" w:rsidR="005F2C8E" w:rsidRPr="004E53F9" w:rsidRDefault="005F2C8E" w:rsidP="000F4058">
      <w:pPr>
        <w:jc w:val="center"/>
        <w:rPr>
          <w:b/>
          <w:sz w:val="24"/>
          <w:szCs w:val="24"/>
          <w:lang w:val="en-GB" w:bidi="en-US"/>
        </w:rPr>
      </w:pPr>
    </w:p>
    <w:p w14:paraId="76491E18" w14:textId="22CD17F3" w:rsidR="000F4058" w:rsidRPr="004E53F9" w:rsidRDefault="00B425F2" w:rsidP="000F4058">
      <w:pPr>
        <w:jc w:val="center"/>
        <w:rPr>
          <w:b/>
          <w:sz w:val="24"/>
          <w:szCs w:val="24"/>
          <w:lang w:val="en-GB" w:bidi="en-US"/>
        </w:rPr>
      </w:pPr>
      <w:r>
        <w:rPr>
          <w:b/>
          <w:sz w:val="24"/>
          <w:szCs w:val="24"/>
          <w:lang w:val="en-GB" w:bidi="en-US"/>
        </w:rPr>
        <w:t>Deadline:</w:t>
      </w:r>
      <w:r w:rsidR="000F4058" w:rsidRPr="004E53F9">
        <w:rPr>
          <w:b/>
          <w:sz w:val="24"/>
          <w:szCs w:val="24"/>
          <w:lang w:val="en-GB" w:bidi="en-US"/>
        </w:rPr>
        <w:t xml:space="preserve"> </w:t>
      </w:r>
      <w:r w:rsidR="002A0D85">
        <w:rPr>
          <w:b/>
          <w:sz w:val="24"/>
          <w:szCs w:val="24"/>
          <w:lang w:val="en-GB" w:bidi="en-US"/>
        </w:rPr>
        <w:t xml:space="preserve">Friday </w:t>
      </w:r>
      <w:r w:rsidR="007931CE">
        <w:rPr>
          <w:b/>
          <w:sz w:val="24"/>
          <w:szCs w:val="24"/>
          <w:lang w:val="en-GB" w:bidi="en-US"/>
        </w:rPr>
        <w:t>1</w:t>
      </w:r>
      <w:r w:rsidR="002A0D85">
        <w:rPr>
          <w:b/>
          <w:sz w:val="24"/>
          <w:szCs w:val="24"/>
          <w:lang w:val="en-GB" w:bidi="en-US"/>
        </w:rPr>
        <w:t>6</w:t>
      </w:r>
      <w:r w:rsidR="007931CE" w:rsidRPr="007931CE">
        <w:rPr>
          <w:b/>
          <w:sz w:val="24"/>
          <w:szCs w:val="24"/>
          <w:vertAlign w:val="superscript"/>
          <w:lang w:val="en-GB" w:bidi="en-US"/>
        </w:rPr>
        <w:t>th</w:t>
      </w:r>
      <w:r w:rsidR="007931CE">
        <w:rPr>
          <w:b/>
          <w:sz w:val="24"/>
          <w:szCs w:val="24"/>
          <w:lang w:val="en-GB" w:bidi="en-US"/>
        </w:rPr>
        <w:t xml:space="preserve"> </w:t>
      </w:r>
      <w:r w:rsidR="00D26E82" w:rsidRPr="004E53F9">
        <w:rPr>
          <w:b/>
          <w:sz w:val="24"/>
          <w:szCs w:val="24"/>
          <w:lang w:val="en-GB" w:bidi="en-US"/>
        </w:rPr>
        <w:t>MAY</w:t>
      </w:r>
      <w:r w:rsidR="000F4058" w:rsidRPr="004E53F9">
        <w:rPr>
          <w:b/>
          <w:sz w:val="24"/>
          <w:szCs w:val="24"/>
          <w:lang w:val="en-GB" w:bidi="en-US"/>
        </w:rPr>
        <w:t xml:space="preserve"> 20</w:t>
      </w:r>
      <w:r w:rsidR="004E53F9" w:rsidRPr="004E53F9">
        <w:rPr>
          <w:b/>
          <w:sz w:val="24"/>
          <w:szCs w:val="24"/>
          <w:lang w:val="en-GB" w:bidi="en-US"/>
        </w:rPr>
        <w:t>2</w:t>
      </w:r>
      <w:r w:rsidR="002A0D85">
        <w:rPr>
          <w:b/>
          <w:sz w:val="24"/>
          <w:szCs w:val="24"/>
          <w:lang w:val="en-GB" w:bidi="en-US"/>
        </w:rPr>
        <w:t>5</w:t>
      </w:r>
    </w:p>
    <w:p w14:paraId="24AC062B" w14:textId="77777777" w:rsidR="000F4058" w:rsidRPr="004E53F9" w:rsidRDefault="000F4058" w:rsidP="008B3D50">
      <w:pPr>
        <w:rPr>
          <w:sz w:val="24"/>
          <w:szCs w:val="24"/>
          <w:lang w:val="en-GB" w:bidi="en-US"/>
        </w:rPr>
      </w:pPr>
    </w:p>
    <w:p w14:paraId="767568F9" w14:textId="77777777" w:rsidR="005F2C8E" w:rsidRPr="004E53F9" w:rsidRDefault="005F2C8E" w:rsidP="000F4058">
      <w:pPr>
        <w:jc w:val="center"/>
        <w:rPr>
          <w:sz w:val="16"/>
          <w:szCs w:val="16"/>
          <w:lang w:val="en-GB" w:bidi="en-US"/>
        </w:rPr>
      </w:pPr>
      <w:r w:rsidRPr="004E53F9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8241" behindDoc="0" locked="0" layoutInCell="1" allowOverlap="1" wp14:anchorId="13C8E37A" wp14:editId="1CCB8C93">
            <wp:simplePos x="0" y="0"/>
            <wp:positionH relativeFrom="margin">
              <wp:posOffset>2428875</wp:posOffset>
            </wp:positionH>
            <wp:positionV relativeFrom="paragraph">
              <wp:posOffset>10160</wp:posOffset>
            </wp:positionV>
            <wp:extent cx="828675" cy="5524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7814_157195341012996_4209479_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911FE" w14:textId="77777777" w:rsidR="005F2C8E" w:rsidRPr="004E53F9" w:rsidRDefault="005F2C8E" w:rsidP="000F4058">
      <w:pPr>
        <w:jc w:val="center"/>
        <w:rPr>
          <w:sz w:val="16"/>
          <w:szCs w:val="16"/>
          <w:lang w:val="en-GB" w:bidi="en-US"/>
        </w:rPr>
      </w:pPr>
    </w:p>
    <w:p w14:paraId="3B4408BA" w14:textId="77777777" w:rsidR="005F2C8E" w:rsidRPr="004E53F9" w:rsidRDefault="005F2C8E" w:rsidP="005F2C8E">
      <w:pPr>
        <w:ind w:left="2608" w:firstLine="1304"/>
        <w:jc w:val="center"/>
        <w:rPr>
          <w:sz w:val="16"/>
          <w:szCs w:val="16"/>
          <w:lang w:val="en-GB" w:bidi="en-US"/>
        </w:rPr>
      </w:pPr>
    </w:p>
    <w:p w14:paraId="3C0F9E0A" w14:textId="77777777" w:rsidR="005F2C8E" w:rsidRPr="004E53F9" w:rsidRDefault="005F2C8E" w:rsidP="005F2C8E">
      <w:pPr>
        <w:ind w:left="2608" w:firstLine="1304"/>
        <w:jc w:val="center"/>
        <w:rPr>
          <w:sz w:val="16"/>
          <w:szCs w:val="16"/>
          <w:lang w:val="en-GB" w:bidi="en-US"/>
        </w:rPr>
      </w:pPr>
    </w:p>
    <w:p w14:paraId="3E2EB0A3" w14:textId="77777777" w:rsidR="000F4058" w:rsidRPr="004E53F9" w:rsidRDefault="000F4058" w:rsidP="000F4058">
      <w:pPr>
        <w:jc w:val="center"/>
        <w:rPr>
          <w:sz w:val="24"/>
          <w:szCs w:val="24"/>
          <w:lang w:val="en-GB" w:bidi="en-US"/>
        </w:rPr>
      </w:pPr>
    </w:p>
    <w:p w14:paraId="203B303D" w14:textId="77777777" w:rsidR="000F4058" w:rsidRPr="004E53F9" w:rsidRDefault="005F2C8E" w:rsidP="000F4058">
      <w:pPr>
        <w:jc w:val="center"/>
        <w:rPr>
          <w:sz w:val="24"/>
          <w:szCs w:val="24"/>
          <w:lang w:val="en-GB" w:bidi="en-US"/>
        </w:rPr>
      </w:pPr>
      <w:r w:rsidRPr="004E53F9">
        <w:rPr>
          <w:sz w:val="24"/>
          <w:szCs w:val="24"/>
          <w:lang w:val="en-GB" w:bidi="en-US"/>
        </w:rPr>
        <w:t xml:space="preserve">SEFI </w:t>
      </w:r>
      <w:proofErr w:type="spellStart"/>
      <w:r w:rsidRPr="004E53F9">
        <w:rPr>
          <w:sz w:val="24"/>
          <w:szCs w:val="24"/>
          <w:lang w:val="en-GB" w:bidi="en-US"/>
        </w:rPr>
        <w:t>aisbl</w:t>
      </w:r>
      <w:proofErr w:type="spellEnd"/>
      <w:r w:rsidRPr="004E53F9">
        <w:rPr>
          <w:sz w:val="24"/>
          <w:szCs w:val="24"/>
          <w:lang w:val="en-GB" w:bidi="en-US"/>
        </w:rPr>
        <w:br/>
        <w:t xml:space="preserve">39, rue des Deux </w:t>
      </w:r>
      <w:proofErr w:type="spellStart"/>
      <w:r w:rsidRPr="004E53F9">
        <w:rPr>
          <w:sz w:val="24"/>
          <w:szCs w:val="24"/>
          <w:lang w:val="en-GB" w:bidi="en-US"/>
        </w:rPr>
        <w:t>Eglises</w:t>
      </w:r>
      <w:proofErr w:type="spellEnd"/>
      <w:r w:rsidRPr="004E53F9">
        <w:rPr>
          <w:sz w:val="24"/>
          <w:szCs w:val="24"/>
          <w:lang w:val="en-GB" w:bidi="en-US"/>
        </w:rPr>
        <w:t xml:space="preserve"> – B – 1000 Brussels</w:t>
      </w:r>
    </w:p>
    <w:p w14:paraId="19B65187" w14:textId="77777777" w:rsidR="000F4058" w:rsidRPr="004E53F9" w:rsidRDefault="000F4058" w:rsidP="000F4058">
      <w:pPr>
        <w:jc w:val="center"/>
        <w:rPr>
          <w:sz w:val="24"/>
          <w:szCs w:val="24"/>
          <w:lang w:val="en-GB" w:bidi="en-US"/>
        </w:rPr>
      </w:pPr>
    </w:p>
    <w:p w14:paraId="026278D2" w14:textId="77777777" w:rsidR="000F4058" w:rsidRPr="004E53F9" w:rsidRDefault="000F4058" w:rsidP="000F4058">
      <w:pPr>
        <w:jc w:val="center"/>
        <w:rPr>
          <w:sz w:val="24"/>
          <w:szCs w:val="24"/>
          <w:lang w:val="en-GB" w:bidi="en-US"/>
        </w:rPr>
      </w:pPr>
    </w:p>
    <w:p w14:paraId="16C1BC6D" w14:textId="77777777" w:rsidR="000F4058" w:rsidRPr="004E53F9" w:rsidRDefault="000F4058" w:rsidP="000F4058">
      <w:pPr>
        <w:jc w:val="center"/>
        <w:rPr>
          <w:sz w:val="24"/>
          <w:szCs w:val="24"/>
          <w:lang w:val="en-GB" w:bidi="en-US"/>
        </w:rPr>
      </w:pPr>
    </w:p>
    <w:p w14:paraId="220C85DA" w14:textId="311C7921" w:rsidR="00C9045D" w:rsidRPr="004E53F9" w:rsidRDefault="00C9045D" w:rsidP="009C31D7">
      <w:pPr>
        <w:rPr>
          <w:b/>
          <w:sz w:val="28"/>
          <w:szCs w:val="28"/>
          <w:lang w:val="en-GB" w:bidi="en-US"/>
        </w:rPr>
      </w:pPr>
      <w:r w:rsidRPr="004E53F9">
        <w:rPr>
          <w:b/>
          <w:sz w:val="28"/>
          <w:szCs w:val="28"/>
          <w:lang w:val="en-GB" w:bidi="en-US"/>
        </w:rPr>
        <w:t xml:space="preserve">Evaluation </w:t>
      </w:r>
      <w:r w:rsidR="002A0D85">
        <w:rPr>
          <w:b/>
          <w:sz w:val="28"/>
          <w:szCs w:val="28"/>
          <w:lang w:val="en-GB" w:bidi="en-US"/>
        </w:rPr>
        <w:t>C</w:t>
      </w:r>
      <w:r w:rsidRPr="004E53F9">
        <w:rPr>
          <w:b/>
          <w:sz w:val="28"/>
          <w:szCs w:val="28"/>
          <w:lang w:val="en-GB" w:bidi="en-US"/>
        </w:rPr>
        <w:t xml:space="preserve">riteria and </w:t>
      </w:r>
      <w:r w:rsidR="002A0D85">
        <w:rPr>
          <w:b/>
          <w:sz w:val="28"/>
          <w:szCs w:val="28"/>
          <w:lang w:val="en-GB" w:bidi="en-US"/>
        </w:rPr>
        <w:t>N</w:t>
      </w:r>
      <w:r w:rsidRPr="004E53F9">
        <w:rPr>
          <w:b/>
          <w:sz w:val="28"/>
          <w:szCs w:val="28"/>
          <w:lang w:val="en-GB" w:bidi="en-US"/>
        </w:rPr>
        <w:t xml:space="preserve">omination </w:t>
      </w:r>
      <w:r w:rsidR="002A0D85">
        <w:rPr>
          <w:b/>
          <w:sz w:val="28"/>
          <w:szCs w:val="28"/>
          <w:lang w:val="en-GB" w:bidi="en-US"/>
        </w:rPr>
        <w:t>T</w:t>
      </w:r>
      <w:r w:rsidRPr="004E53F9">
        <w:rPr>
          <w:b/>
          <w:sz w:val="28"/>
          <w:szCs w:val="28"/>
          <w:lang w:val="en-GB" w:bidi="en-US"/>
        </w:rPr>
        <w:t>emplate</w:t>
      </w:r>
    </w:p>
    <w:p w14:paraId="5577D390" w14:textId="77777777" w:rsidR="00C9045D" w:rsidRPr="004E53F9" w:rsidRDefault="00C9045D" w:rsidP="009C31D7">
      <w:pPr>
        <w:rPr>
          <w:b/>
          <w:sz w:val="28"/>
          <w:szCs w:val="28"/>
          <w:lang w:val="en-GB" w:bidi="en-US"/>
        </w:rPr>
      </w:pPr>
    </w:p>
    <w:p w14:paraId="70FC2436" w14:textId="1C51861F" w:rsidR="00302575" w:rsidRPr="004E53F9" w:rsidRDefault="00302575" w:rsidP="004E53F9">
      <w:pPr>
        <w:spacing w:after="280"/>
        <w:rPr>
          <w:color w:val="323232"/>
          <w:lang w:val="en-GB"/>
        </w:rPr>
      </w:pPr>
      <w:r w:rsidRPr="004E53F9">
        <w:rPr>
          <w:color w:val="323232"/>
          <w:lang w:val="en-GB"/>
        </w:rPr>
        <w:t xml:space="preserve">Evaluation and selection will be based on the extent to which the nominee </w:t>
      </w:r>
      <w:r w:rsidR="004E53F9">
        <w:rPr>
          <w:color w:val="323232"/>
          <w:lang w:val="en-GB"/>
        </w:rPr>
        <w:t xml:space="preserve">has contributed to the </w:t>
      </w:r>
      <w:r w:rsidRPr="004E53F9">
        <w:rPr>
          <w:color w:val="323232"/>
          <w:lang w:val="en-GB"/>
        </w:rPr>
        <w:t>development of learning and teaching in engineering education</w:t>
      </w:r>
      <w:r w:rsidR="00834B3B">
        <w:rPr>
          <w:color w:val="323232"/>
          <w:lang w:val="en-GB"/>
        </w:rPr>
        <w:t xml:space="preserve"> and created a positive impact</w:t>
      </w:r>
      <w:r w:rsidR="004E53F9">
        <w:rPr>
          <w:color w:val="323232"/>
          <w:lang w:val="en-GB"/>
        </w:rPr>
        <w:t xml:space="preserve">. </w:t>
      </w:r>
      <w:r w:rsidR="004E53F9" w:rsidRPr="004E53F9">
        <w:rPr>
          <w:color w:val="323232"/>
          <w:lang w:val="en-GB"/>
        </w:rPr>
        <w:t>It is highly recommended to structure nominations along these themes</w:t>
      </w:r>
      <w:r w:rsidR="004E53F9">
        <w:rPr>
          <w:color w:val="323232"/>
          <w:lang w:val="en-GB"/>
        </w:rPr>
        <w:t>:</w:t>
      </w:r>
    </w:p>
    <w:p w14:paraId="47C11798" w14:textId="7BA2B895" w:rsidR="00302575" w:rsidRPr="004E53F9" w:rsidRDefault="00302575" w:rsidP="004E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323232"/>
          <w:lang w:val="en-GB"/>
        </w:rPr>
      </w:pPr>
      <w:bookmarkStart w:id="0" w:name="_Hlk166702421"/>
      <w:r w:rsidRPr="004E53F9">
        <w:rPr>
          <w:color w:val="323232"/>
          <w:lang w:val="en-GB"/>
        </w:rPr>
        <w:t>Background and underlying ideas (rationale)</w:t>
      </w:r>
      <w:r w:rsidR="004E53F9">
        <w:rPr>
          <w:color w:val="323232"/>
          <w:lang w:val="en-GB"/>
        </w:rPr>
        <w:t xml:space="preserve"> including </w:t>
      </w:r>
      <w:r w:rsidR="00834B3B">
        <w:rPr>
          <w:color w:val="323232"/>
          <w:lang w:val="en-GB"/>
        </w:rPr>
        <w:t>n</w:t>
      </w:r>
      <w:r w:rsidRPr="004E53F9">
        <w:rPr>
          <w:color w:val="323232"/>
          <w:lang w:val="en-GB"/>
        </w:rPr>
        <w:t>ational/regional/local context</w:t>
      </w:r>
    </w:p>
    <w:p w14:paraId="55B2F5FD" w14:textId="77777777" w:rsidR="00302575" w:rsidRPr="004E53F9" w:rsidRDefault="00302575" w:rsidP="00D26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323232"/>
          <w:lang w:val="en-GB"/>
        </w:rPr>
      </w:pPr>
      <w:bookmarkStart w:id="1" w:name="_Hlk166702586"/>
      <w:bookmarkEnd w:id="0"/>
      <w:r w:rsidRPr="004E53F9">
        <w:rPr>
          <w:color w:val="323232"/>
          <w:lang w:val="en-GB"/>
        </w:rPr>
        <w:t>Sources of inspiration – e.g. existing knowledge, including references about university teaching/engineering education (Scholarship of Teaching &amp; Learning)</w:t>
      </w:r>
    </w:p>
    <w:p w14:paraId="4D93C799" w14:textId="0E1B6A56" w:rsidR="00302575" w:rsidRPr="004E53F9" w:rsidRDefault="00302575" w:rsidP="00D26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323232"/>
          <w:lang w:val="en-GB"/>
        </w:rPr>
      </w:pPr>
      <w:bookmarkStart w:id="2" w:name="_Hlk166702648"/>
      <w:bookmarkEnd w:id="1"/>
      <w:r w:rsidRPr="004E53F9">
        <w:rPr>
          <w:color w:val="323232"/>
          <w:lang w:val="en-GB"/>
        </w:rPr>
        <w:t xml:space="preserve">Applied </w:t>
      </w:r>
      <w:r w:rsidR="00834B3B">
        <w:rPr>
          <w:color w:val="323232"/>
          <w:lang w:val="en-GB"/>
        </w:rPr>
        <w:t xml:space="preserve">innovation in </w:t>
      </w:r>
      <w:r w:rsidRPr="004E53F9">
        <w:rPr>
          <w:color w:val="323232"/>
          <w:lang w:val="en-GB"/>
        </w:rPr>
        <w:t>teaching</w:t>
      </w:r>
      <w:r w:rsidR="00834B3B">
        <w:rPr>
          <w:color w:val="323232"/>
          <w:lang w:val="en-GB"/>
        </w:rPr>
        <w:t xml:space="preserve"> and educational</w:t>
      </w:r>
      <w:r w:rsidRPr="004E53F9">
        <w:rPr>
          <w:color w:val="323232"/>
          <w:lang w:val="en-GB"/>
        </w:rPr>
        <w:t xml:space="preserve"> methods and grounds for choice of methods</w:t>
      </w:r>
    </w:p>
    <w:p w14:paraId="40CF7F78" w14:textId="4F67448F" w:rsidR="00302575" w:rsidRPr="004E53F9" w:rsidRDefault="00302575" w:rsidP="00D26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323232"/>
          <w:lang w:val="en-GB"/>
        </w:rPr>
      </w:pPr>
      <w:bookmarkStart w:id="3" w:name="_Hlk166702773"/>
      <w:bookmarkEnd w:id="2"/>
      <w:r w:rsidRPr="004E53F9">
        <w:rPr>
          <w:color w:val="323232"/>
          <w:lang w:val="en-GB"/>
        </w:rPr>
        <w:t>Results</w:t>
      </w:r>
      <w:r w:rsidR="004E53F9">
        <w:rPr>
          <w:color w:val="323232"/>
          <w:lang w:val="en-GB"/>
        </w:rPr>
        <w:t xml:space="preserve"> and impact on students</w:t>
      </w:r>
      <w:r w:rsidR="00834B3B">
        <w:rPr>
          <w:color w:val="323232"/>
          <w:lang w:val="en-GB"/>
        </w:rPr>
        <w:t xml:space="preserve"> and institutional education offering,</w:t>
      </w:r>
      <w:r w:rsidRPr="004E53F9">
        <w:rPr>
          <w:color w:val="323232"/>
          <w:lang w:val="en-GB"/>
        </w:rPr>
        <w:t xml:space="preserve"> including effects on student learning outcome</w:t>
      </w:r>
      <w:r w:rsidR="004E53F9">
        <w:rPr>
          <w:color w:val="323232"/>
          <w:lang w:val="en-GB"/>
        </w:rPr>
        <w:t>s</w:t>
      </w:r>
      <w:r w:rsidR="00834B3B">
        <w:rPr>
          <w:color w:val="323232"/>
          <w:lang w:val="en-GB"/>
        </w:rPr>
        <w:t xml:space="preserve"> and the overall student experience of engineering education</w:t>
      </w:r>
    </w:p>
    <w:p w14:paraId="5E012778" w14:textId="54032119" w:rsidR="00302575" w:rsidRPr="004E53F9" w:rsidRDefault="00302575" w:rsidP="00D26E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323232"/>
          <w:lang w:val="en-GB"/>
        </w:rPr>
      </w:pPr>
      <w:bookmarkStart w:id="4" w:name="_Hlk166702886"/>
      <w:bookmarkEnd w:id="3"/>
      <w:r w:rsidRPr="004E53F9">
        <w:rPr>
          <w:color w:val="323232"/>
          <w:lang w:val="en-GB"/>
        </w:rPr>
        <w:t xml:space="preserve">Significance for </w:t>
      </w:r>
      <w:r w:rsidR="00834B3B">
        <w:rPr>
          <w:color w:val="323232"/>
          <w:lang w:val="en-GB"/>
        </w:rPr>
        <w:t>e</w:t>
      </w:r>
      <w:r w:rsidRPr="004E53F9">
        <w:rPr>
          <w:color w:val="323232"/>
          <w:lang w:val="en-GB"/>
        </w:rPr>
        <w:t xml:space="preserve">ngineering </w:t>
      </w:r>
      <w:r w:rsidR="00834B3B">
        <w:rPr>
          <w:color w:val="323232"/>
          <w:lang w:val="en-GB"/>
        </w:rPr>
        <w:t>ed</w:t>
      </w:r>
      <w:r w:rsidRPr="004E53F9">
        <w:rPr>
          <w:color w:val="323232"/>
          <w:lang w:val="en-GB"/>
        </w:rPr>
        <w:t>ucation elaborating on local/regional/national/international applicability</w:t>
      </w:r>
      <w:r w:rsidR="004E53F9">
        <w:rPr>
          <w:color w:val="323232"/>
          <w:lang w:val="en-GB"/>
        </w:rPr>
        <w:t>, dissemination</w:t>
      </w:r>
      <w:r w:rsidRPr="004E53F9">
        <w:rPr>
          <w:color w:val="323232"/>
          <w:lang w:val="en-GB"/>
        </w:rPr>
        <w:t xml:space="preserve"> and impact</w:t>
      </w:r>
      <w:r w:rsidR="004E53F9">
        <w:rPr>
          <w:color w:val="323232"/>
          <w:lang w:val="en-GB"/>
        </w:rPr>
        <w:t>.</w:t>
      </w:r>
    </w:p>
    <w:bookmarkEnd w:id="4"/>
    <w:p w14:paraId="4BF4A4BC" w14:textId="04CFD1FA" w:rsidR="00C9045D" w:rsidRDefault="00302575" w:rsidP="00302575">
      <w:pPr>
        <w:spacing w:after="280"/>
        <w:rPr>
          <w:color w:val="323232"/>
          <w:lang w:val="en-GB"/>
        </w:rPr>
      </w:pPr>
      <w:r w:rsidRPr="004E53F9">
        <w:rPr>
          <w:color w:val="323232"/>
          <w:lang w:val="en-GB"/>
        </w:rPr>
        <w:t>The word count of nominations should not exceed 1</w:t>
      </w:r>
      <w:r w:rsidR="00855752" w:rsidRPr="004E53F9">
        <w:rPr>
          <w:color w:val="323232"/>
          <w:lang w:val="en-GB"/>
        </w:rPr>
        <w:t>2</w:t>
      </w:r>
      <w:r w:rsidRPr="004E53F9">
        <w:rPr>
          <w:color w:val="323232"/>
          <w:lang w:val="en-GB"/>
        </w:rPr>
        <w:t>00 words (</w:t>
      </w:r>
      <w:r w:rsidR="00855752" w:rsidRPr="004E53F9">
        <w:rPr>
          <w:color w:val="323232"/>
          <w:lang w:val="en-GB"/>
        </w:rPr>
        <w:t xml:space="preserve">including </w:t>
      </w:r>
      <w:r w:rsidRPr="004E53F9">
        <w:rPr>
          <w:color w:val="323232"/>
          <w:lang w:val="en-GB"/>
        </w:rPr>
        <w:t>an abstract of max. 200 words).</w:t>
      </w:r>
      <w:r w:rsidR="00B26F58" w:rsidRPr="004E53F9">
        <w:rPr>
          <w:color w:val="323232"/>
          <w:lang w:val="en-GB"/>
        </w:rPr>
        <w:t xml:space="preserve"> Name and affiliation of the nominator and the nominee is not part of the wordcount.</w:t>
      </w:r>
      <w:r w:rsidR="004E53F9" w:rsidRPr="004E53F9">
        <w:rPr>
          <w:color w:val="323232"/>
          <w:lang w:val="en-GB"/>
        </w:rPr>
        <w:t xml:space="preserve"> Please note, all information must be contained in the application, additional information such as CVs of nominees will not be considered.</w:t>
      </w:r>
    </w:p>
    <w:p w14:paraId="7FBE6A08" w14:textId="22A8E884" w:rsidR="002A0D85" w:rsidRPr="004E53F9" w:rsidRDefault="002A0D85" w:rsidP="00302575">
      <w:pPr>
        <w:spacing w:after="280"/>
        <w:rPr>
          <w:color w:val="323232"/>
          <w:lang w:val="en-GB"/>
        </w:rPr>
      </w:pPr>
      <w:r>
        <w:rPr>
          <w:color w:val="323232"/>
          <w:lang w:val="en-GB"/>
        </w:rPr>
        <w:t>Please note: The SEFI Maffioli Award Committee has the authority to award two winners in an exceptional year</w:t>
      </w:r>
      <w:r w:rsidR="00834B3B">
        <w:rPr>
          <w:color w:val="323232"/>
          <w:lang w:val="en-GB"/>
        </w:rPr>
        <w:t xml:space="preserve">, </w:t>
      </w:r>
      <w:r>
        <w:rPr>
          <w:color w:val="323232"/>
          <w:lang w:val="en-GB"/>
        </w:rPr>
        <w:t xml:space="preserve">when it </w:t>
      </w:r>
      <w:r w:rsidR="00834B3B">
        <w:rPr>
          <w:color w:val="323232"/>
          <w:lang w:val="en-GB"/>
        </w:rPr>
        <w:t>i</w:t>
      </w:r>
      <w:r>
        <w:rPr>
          <w:color w:val="323232"/>
          <w:lang w:val="en-GB"/>
        </w:rPr>
        <w:t xml:space="preserve">s agreed that there are outstanding contributions to teaching and learning within engineering studies by both a nominated individual and a nominated team of individuals. </w:t>
      </w:r>
    </w:p>
    <w:p w14:paraId="0360A621" w14:textId="77777777" w:rsidR="00C9045D" w:rsidRPr="004E53F9" w:rsidRDefault="00C9045D">
      <w:pPr>
        <w:spacing w:after="160" w:line="259" w:lineRule="auto"/>
        <w:rPr>
          <w:color w:val="323232"/>
          <w:lang w:val="en-GB"/>
        </w:rPr>
      </w:pPr>
      <w:r w:rsidRPr="004E53F9">
        <w:rPr>
          <w:color w:val="323232"/>
          <w:lang w:val="en-GB"/>
        </w:rPr>
        <w:br w:type="page"/>
      </w:r>
    </w:p>
    <w:p w14:paraId="2DD1EDB2" w14:textId="0698D05C" w:rsidR="00C9045D" w:rsidRPr="004E53F9" w:rsidRDefault="002A0D85" w:rsidP="00C9045D">
      <w:pPr>
        <w:spacing w:after="280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lastRenderedPageBreak/>
        <w:t xml:space="preserve">Please provide the </w:t>
      </w:r>
      <w:r w:rsidR="00C9045D" w:rsidRPr="004E53F9">
        <w:rPr>
          <w:b/>
          <w:i/>
          <w:sz w:val="24"/>
          <w:szCs w:val="24"/>
          <w:lang w:val="en-GB"/>
        </w:rPr>
        <w:t xml:space="preserve">Logo of the </w:t>
      </w:r>
      <w:r>
        <w:rPr>
          <w:b/>
          <w:i/>
          <w:sz w:val="24"/>
          <w:szCs w:val="24"/>
          <w:lang w:val="en-GB"/>
        </w:rPr>
        <w:t>N</w:t>
      </w:r>
      <w:r w:rsidR="00C9045D" w:rsidRPr="004E53F9">
        <w:rPr>
          <w:b/>
          <w:i/>
          <w:sz w:val="24"/>
          <w:szCs w:val="24"/>
          <w:lang w:val="en-GB"/>
        </w:rPr>
        <w:t xml:space="preserve">ominating </w:t>
      </w:r>
      <w:r>
        <w:rPr>
          <w:b/>
          <w:i/>
          <w:sz w:val="24"/>
          <w:szCs w:val="24"/>
          <w:lang w:val="en-GB"/>
        </w:rPr>
        <w:t>I</w:t>
      </w:r>
      <w:r w:rsidR="00C9045D" w:rsidRPr="004E53F9">
        <w:rPr>
          <w:b/>
          <w:i/>
          <w:sz w:val="24"/>
          <w:szCs w:val="24"/>
          <w:lang w:val="en-GB"/>
        </w:rPr>
        <w:t>nstitution</w:t>
      </w:r>
      <w:r>
        <w:rPr>
          <w:b/>
          <w:i/>
          <w:sz w:val="24"/>
          <w:szCs w:val="24"/>
          <w:lang w:val="en-GB"/>
        </w:rPr>
        <w:t xml:space="preserve"> here</w:t>
      </w:r>
    </w:p>
    <w:p w14:paraId="699897DC" w14:textId="77777777" w:rsidR="00C9045D" w:rsidRPr="004E53F9" w:rsidRDefault="00C9045D" w:rsidP="002A0D85">
      <w:pPr>
        <w:spacing w:after="280"/>
        <w:rPr>
          <w:b/>
          <w:color w:val="00B0F0"/>
          <w:sz w:val="32"/>
          <w:szCs w:val="32"/>
          <w:lang w:val="en-GB"/>
        </w:rPr>
      </w:pPr>
    </w:p>
    <w:p w14:paraId="1E06B6BB" w14:textId="37A15805" w:rsidR="00302575" w:rsidRPr="004E53F9" w:rsidRDefault="00C9045D" w:rsidP="00C9045D">
      <w:pPr>
        <w:spacing w:after="280"/>
        <w:jc w:val="center"/>
        <w:rPr>
          <w:b/>
          <w:color w:val="00B0F0"/>
          <w:sz w:val="32"/>
          <w:szCs w:val="32"/>
          <w:lang w:val="en-GB"/>
        </w:rPr>
      </w:pPr>
      <w:r w:rsidRPr="004E53F9">
        <w:rPr>
          <w:b/>
          <w:color w:val="00B0F0"/>
          <w:sz w:val="32"/>
          <w:szCs w:val="32"/>
          <w:lang w:val="en-GB"/>
        </w:rPr>
        <w:t>Nomination form for the 20</w:t>
      </w:r>
      <w:r w:rsidR="004E53F9" w:rsidRPr="004E53F9">
        <w:rPr>
          <w:b/>
          <w:color w:val="00B0F0"/>
          <w:sz w:val="32"/>
          <w:szCs w:val="32"/>
          <w:lang w:val="en-GB"/>
        </w:rPr>
        <w:t>2</w:t>
      </w:r>
      <w:r w:rsidR="002A0D85">
        <w:rPr>
          <w:b/>
          <w:color w:val="00B0F0"/>
          <w:sz w:val="32"/>
          <w:szCs w:val="32"/>
          <w:lang w:val="en-GB"/>
        </w:rPr>
        <w:t>5</w:t>
      </w:r>
      <w:r w:rsidRPr="004E53F9">
        <w:rPr>
          <w:b/>
          <w:color w:val="00B0F0"/>
          <w:sz w:val="32"/>
          <w:szCs w:val="32"/>
          <w:lang w:val="en-GB"/>
        </w:rPr>
        <w:t xml:space="preserve"> SEFI Francesco Maffioli Award</w:t>
      </w:r>
    </w:p>
    <w:p w14:paraId="029CD551" w14:textId="77777777" w:rsidR="009C31D7" w:rsidRPr="004E53F9" w:rsidRDefault="009C31D7" w:rsidP="009C31D7">
      <w:pPr>
        <w:rPr>
          <w:b/>
          <w:color w:val="C45911" w:themeColor="accent2" w:themeShade="BF"/>
          <w:sz w:val="28"/>
          <w:szCs w:val="28"/>
          <w:lang w:val="en-GB"/>
        </w:rPr>
      </w:pPr>
    </w:p>
    <w:tbl>
      <w:tblPr>
        <w:tblStyle w:val="ListTable2-Accent5"/>
        <w:tblW w:w="9067" w:type="dxa"/>
        <w:tblBorders>
          <w:left w:val="single" w:sz="4" w:space="0" w:color="auto"/>
          <w:right w:val="single" w:sz="4" w:space="0" w:color="auto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C31D7" w:rsidRPr="004E53F9" w14:paraId="73B7CCEC" w14:textId="77777777" w:rsidTr="00E44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55B02C70" w14:textId="77777777" w:rsidR="00260BF4" w:rsidRPr="004E53F9" w:rsidRDefault="00260BF4">
            <w:pPr>
              <w:rPr>
                <w:sz w:val="24"/>
                <w:szCs w:val="24"/>
                <w:u w:val="single"/>
                <w:lang w:val="en-GB" w:bidi="en-US"/>
              </w:rPr>
            </w:pPr>
            <w:r w:rsidRPr="004E53F9">
              <w:rPr>
                <w:sz w:val="24"/>
                <w:szCs w:val="24"/>
                <w:u w:val="single"/>
                <w:lang w:val="en-GB" w:bidi="en-US"/>
              </w:rPr>
              <w:t>Nominator</w:t>
            </w:r>
          </w:p>
          <w:p w14:paraId="62A59E61" w14:textId="7035965F" w:rsidR="009C31D7" w:rsidRPr="004E53F9" w:rsidRDefault="009C31D7">
            <w:pPr>
              <w:rPr>
                <w:lang w:val="en-GB"/>
              </w:rPr>
            </w:pPr>
            <w:r w:rsidRPr="004E53F9">
              <w:rPr>
                <w:lang w:val="en-GB" w:bidi="en-US"/>
              </w:rPr>
              <w:t>Name:</w:t>
            </w:r>
            <w:r w:rsidR="00140DE6">
              <w:rPr>
                <w:lang w:val="en-GB" w:bidi="en-US"/>
              </w:rPr>
              <w:t xml:space="preserve"> </w:t>
            </w:r>
          </w:p>
          <w:p w14:paraId="06B9C9FB" w14:textId="32DD73AF" w:rsidR="009C31D7" w:rsidRPr="004E53F9" w:rsidRDefault="009C31D7">
            <w:pPr>
              <w:rPr>
                <w:lang w:val="en-GB"/>
              </w:rPr>
            </w:pPr>
            <w:r w:rsidRPr="004E53F9">
              <w:rPr>
                <w:lang w:val="en-GB" w:bidi="en-US"/>
              </w:rPr>
              <w:t>Position:</w:t>
            </w:r>
            <w:r w:rsidR="00140DE6">
              <w:rPr>
                <w:lang w:val="en-GB" w:bidi="en-US"/>
              </w:rPr>
              <w:t xml:space="preserve"> </w:t>
            </w:r>
          </w:p>
          <w:p w14:paraId="20865463" w14:textId="540D49C2" w:rsidR="00302575" w:rsidRPr="004E53F9" w:rsidRDefault="00302575">
            <w:pPr>
              <w:rPr>
                <w:lang w:val="en-GB"/>
              </w:rPr>
            </w:pPr>
            <w:r w:rsidRPr="004E53F9">
              <w:rPr>
                <w:lang w:val="en-GB" w:bidi="en-US"/>
              </w:rPr>
              <w:t>University:</w:t>
            </w:r>
            <w:r w:rsidR="00140DE6">
              <w:rPr>
                <w:lang w:val="en-GB" w:bidi="en-US"/>
              </w:rPr>
              <w:t xml:space="preserve"> </w:t>
            </w:r>
          </w:p>
          <w:p w14:paraId="5C602843" w14:textId="1CD37B6F" w:rsidR="00CD2F8E" w:rsidRPr="004E53F9" w:rsidRDefault="00CD2F8E">
            <w:pPr>
              <w:rPr>
                <w:lang w:val="en-GB" w:bidi="en-US"/>
              </w:rPr>
            </w:pPr>
            <w:r w:rsidRPr="004E53F9">
              <w:rPr>
                <w:lang w:val="en-GB" w:bidi="en-US"/>
              </w:rPr>
              <w:t>Country:</w:t>
            </w:r>
            <w:r w:rsidR="00140DE6">
              <w:rPr>
                <w:lang w:val="en-GB" w:bidi="en-US"/>
              </w:rPr>
              <w:t xml:space="preserve">  </w:t>
            </w:r>
          </w:p>
          <w:p w14:paraId="6FF58B6C" w14:textId="78331C19" w:rsidR="009C31D7" w:rsidRPr="004E53F9" w:rsidRDefault="009C31D7">
            <w:pPr>
              <w:rPr>
                <w:lang w:val="en-GB"/>
              </w:rPr>
            </w:pPr>
            <w:r w:rsidRPr="004E53F9">
              <w:rPr>
                <w:lang w:val="en-GB" w:bidi="en-US"/>
              </w:rPr>
              <w:t>Email:</w:t>
            </w:r>
            <w:r w:rsidR="00140DE6">
              <w:rPr>
                <w:lang w:val="en-GB" w:bidi="en-US"/>
              </w:rPr>
              <w:t xml:space="preserve"> </w:t>
            </w:r>
          </w:p>
          <w:p w14:paraId="39F29C74" w14:textId="5BC9F5EC" w:rsidR="009C31D7" w:rsidRPr="004E53F9" w:rsidRDefault="009C31D7">
            <w:pPr>
              <w:rPr>
                <w:lang w:val="en-GB" w:bidi="en-US"/>
              </w:rPr>
            </w:pPr>
            <w:r w:rsidRPr="004E53F9">
              <w:rPr>
                <w:lang w:val="en-GB" w:bidi="en-US"/>
              </w:rPr>
              <w:t>Telephone:</w:t>
            </w:r>
            <w:r w:rsidR="00140DE6">
              <w:rPr>
                <w:lang w:val="en-GB" w:bidi="en-US"/>
              </w:rPr>
              <w:t xml:space="preserve"> </w:t>
            </w:r>
          </w:p>
          <w:p w14:paraId="2B68EF79" w14:textId="77777777" w:rsidR="009C31D7" w:rsidRPr="004E53F9" w:rsidRDefault="009C31D7" w:rsidP="00260BF4">
            <w:pPr>
              <w:rPr>
                <w:lang w:val="en-GB"/>
              </w:rPr>
            </w:pPr>
          </w:p>
        </w:tc>
      </w:tr>
      <w:tr w:rsidR="009C31D7" w:rsidRPr="004E53F9" w14:paraId="78DBA213" w14:textId="77777777" w:rsidTr="00E4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D3D5D03" w14:textId="77777777" w:rsidR="00260BF4" w:rsidRPr="004E53F9" w:rsidRDefault="00260BF4" w:rsidP="00260BF4">
            <w:pPr>
              <w:rPr>
                <w:sz w:val="24"/>
                <w:szCs w:val="24"/>
                <w:u w:val="single"/>
                <w:lang w:val="en-GB" w:bidi="en-US"/>
              </w:rPr>
            </w:pPr>
            <w:r w:rsidRPr="004E53F9">
              <w:rPr>
                <w:sz w:val="24"/>
                <w:szCs w:val="24"/>
                <w:u w:val="single"/>
                <w:lang w:val="en-GB" w:bidi="en-US"/>
              </w:rPr>
              <w:t>Nominee</w:t>
            </w:r>
          </w:p>
          <w:p w14:paraId="66262FDA" w14:textId="6DEC4EE6" w:rsidR="00260BF4" w:rsidRPr="004E53F9" w:rsidRDefault="00260BF4" w:rsidP="00260BF4">
            <w:pPr>
              <w:rPr>
                <w:lang w:val="en-GB"/>
              </w:rPr>
            </w:pPr>
            <w:r w:rsidRPr="004E53F9">
              <w:rPr>
                <w:lang w:val="en-GB" w:bidi="en-US"/>
              </w:rPr>
              <w:t>Name</w:t>
            </w:r>
            <w:r w:rsidR="004E53F9">
              <w:rPr>
                <w:lang w:val="en-GB" w:bidi="en-US"/>
              </w:rPr>
              <w:t xml:space="preserve"> (lead and team name if team nomination)</w:t>
            </w:r>
            <w:r w:rsidRPr="004E53F9">
              <w:rPr>
                <w:lang w:val="en-GB" w:bidi="en-US"/>
              </w:rPr>
              <w:t>:</w:t>
            </w:r>
            <w:r w:rsidR="002060BB">
              <w:rPr>
                <w:lang w:val="en-GB" w:bidi="en-US"/>
              </w:rPr>
              <w:t xml:space="preserve"> </w:t>
            </w:r>
          </w:p>
          <w:p w14:paraId="6206B076" w14:textId="1D9BCA8A" w:rsidR="00260BF4" w:rsidRPr="004E53F9" w:rsidRDefault="00260BF4" w:rsidP="00260BF4">
            <w:pPr>
              <w:rPr>
                <w:lang w:val="en-GB"/>
              </w:rPr>
            </w:pPr>
            <w:r w:rsidRPr="004E53F9">
              <w:rPr>
                <w:lang w:val="en-GB" w:bidi="en-US"/>
              </w:rPr>
              <w:t>Position:</w:t>
            </w:r>
            <w:r w:rsidR="002060BB">
              <w:rPr>
                <w:lang w:val="en-GB" w:bidi="en-US"/>
              </w:rPr>
              <w:t xml:space="preserve"> </w:t>
            </w:r>
          </w:p>
          <w:p w14:paraId="35AC78C8" w14:textId="7CB5C2B5" w:rsidR="00260BF4" w:rsidRPr="004E53F9" w:rsidRDefault="00260BF4" w:rsidP="00260BF4">
            <w:pPr>
              <w:rPr>
                <w:lang w:val="en-GB" w:bidi="en-US"/>
              </w:rPr>
            </w:pPr>
            <w:r w:rsidRPr="004E53F9">
              <w:rPr>
                <w:lang w:val="en-GB" w:bidi="en-US"/>
              </w:rPr>
              <w:t>Department:</w:t>
            </w:r>
            <w:r w:rsidR="002060BB">
              <w:rPr>
                <w:lang w:val="en-GB" w:bidi="en-US"/>
              </w:rPr>
              <w:t xml:space="preserve"> </w:t>
            </w:r>
          </w:p>
          <w:p w14:paraId="34A2694C" w14:textId="63FB8AE5" w:rsidR="00260BF4" w:rsidRPr="004E53F9" w:rsidRDefault="00260BF4" w:rsidP="00260BF4">
            <w:pPr>
              <w:rPr>
                <w:lang w:val="en-GB"/>
              </w:rPr>
            </w:pPr>
            <w:r w:rsidRPr="004E53F9">
              <w:rPr>
                <w:lang w:val="en-GB" w:bidi="en-US"/>
              </w:rPr>
              <w:t>University:</w:t>
            </w:r>
            <w:r w:rsidR="002060BB">
              <w:rPr>
                <w:lang w:val="en-GB" w:bidi="en-US"/>
              </w:rPr>
              <w:t xml:space="preserve"> </w:t>
            </w:r>
          </w:p>
          <w:p w14:paraId="55AE5DE0" w14:textId="440C57AC" w:rsidR="00260BF4" w:rsidRPr="004E53F9" w:rsidRDefault="00260BF4" w:rsidP="00260BF4">
            <w:pPr>
              <w:rPr>
                <w:lang w:val="en-GB" w:bidi="en-US"/>
              </w:rPr>
            </w:pPr>
            <w:r w:rsidRPr="004E53F9">
              <w:rPr>
                <w:lang w:val="en-GB" w:bidi="en-US"/>
              </w:rPr>
              <w:t>Country:</w:t>
            </w:r>
            <w:r w:rsidR="002060BB">
              <w:rPr>
                <w:lang w:val="en-GB" w:bidi="en-US"/>
              </w:rPr>
              <w:t xml:space="preserve"> </w:t>
            </w:r>
          </w:p>
          <w:p w14:paraId="04CF5FA6" w14:textId="717A4233" w:rsidR="00F77597" w:rsidRPr="00F77597" w:rsidRDefault="00260BF4" w:rsidP="00260BF4">
            <w:pPr>
              <w:rPr>
                <w:b w:val="0"/>
                <w:bCs w:val="0"/>
                <w:lang w:bidi="en-US"/>
              </w:rPr>
            </w:pPr>
            <w:r w:rsidRPr="00F77597">
              <w:rPr>
                <w:lang w:bidi="en-US"/>
              </w:rPr>
              <w:t>Email:</w:t>
            </w:r>
            <w:r w:rsidR="00F77597" w:rsidRPr="00F77597">
              <w:rPr>
                <w:lang w:bidi="en-US"/>
              </w:rPr>
              <w:t xml:space="preserve"> </w:t>
            </w:r>
          </w:p>
          <w:p w14:paraId="467484D6" w14:textId="7A4A83D4" w:rsidR="00260BF4" w:rsidRPr="004E53F9" w:rsidRDefault="00260BF4" w:rsidP="00260BF4">
            <w:pPr>
              <w:rPr>
                <w:lang w:val="en-GB"/>
              </w:rPr>
            </w:pPr>
            <w:r w:rsidRPr="004E53F9">
              <w:rPr>
                <w:lang w:val="en-GB" w:bidi="en-US"/>
              </w:rPr>
              <w:t>Telephone:</w:t>
            </w:r>
            <w:r w:rsidR="00F77597">
              <w:rPr>
                <w:lang w:val="en-GB" w:bidi="en-US"/>
              </w:rPr>
              <w:t xml:space="preserve"> </w:t>
            </w:r>
          </w:p>
          <w:p w14:paraId="7F18E379" w14:textId="77777777" w:rsidR="009C31D7" w:rsidRPr="004E53F9" w:rsidRDefault="009C31D7">
            <w:pPr>
              <w:rPr>
                <w:lang w:val="en-GB"/>
              </w:rPr>
            </w:pPr>
          </w:p>
        </w:tc>
      </w:tr>
      <w:tr w:rsidR="00855752" w:rsidRPr="004E53F9" w14:paraId="4FC6BA87" w14:textId="77777777" w:rsidTr="00E44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74236BC5" w14:textId="2CDB9A62" w:rsidR="00855752" w:rsidRPr="004E53F9" w:rsidRDefault="00855752" w:rsidP="00260BF4">
            <w:pPr>
              <w:rPr>
                <w:sz w:val="24"/>
                <w:szCs w:val="24"/>
                <w:lang w:val="en-GB" w:bidi="en-US"/>
              </w:rPr>
            </w:pPr>
            <w:r w:rsidRPr="004E53F9">
              <w:rPr>
                <w:sz w:val="24"/>
                <w:szCs w:val="24"/>
                <w:lang w:val="en-GB" w:bidi="en-US"/>
              </w:rPr>
              <w:t>Abstract (max 200 words):</w:t>
            </w:r>
          </w:p>
          <w:p w14:paraId="39827C65" w14:textId="77777777" w:rsidR="00855752" w:rsidRPr="004E53F9" w:rsidRDefault="00855752" w:rsidP="00260BF4">
            <w:pPr>
              <w:rPr>
                <w:b w:val="0"/>
                <w:lang w:val="en-GB"/>
              </w:rPr>
            </w:pPr>
          </w:p>
          <w:p w14:paraId="62EC77F6" w14:textId="77777777" w:rsidR="00855752" w:rsidRDefault="00855752">
            <w:pPr>
              <w:rPr>
                <w:b w:val="0"/>
                <w:bCs w:val="0"/>
                <w:lang w:val="en-GB"/>
              </w:rPr>
            </w:pPr>
          </w:p>
          <w:p w14:paraId="4A9FCEF0" w14:textId="77777777" w:rsidR="002A0D85" w:rsidRDefault="002A0D85">
            <w:pPr>
              <w:rPr>
                <w:b w:val="0"/>
                <w:bCs w:val="0"/>
                <w:lang w:val="en-GB"/>
              </w:rPr>
            </w:pPr>
          </w:p>
          <w:p w14:paraId="68BA3EF1" w14:textId="77777777" w:rsidR="002A0D85" w:rsidRDefault="002A0D85">
            <w:pPr>
              <w:rPr>
                <w:b w:val="0"/>
                <w:bCs w:val="0"/>
                <w:lang w:val="en-GB"/>
              </w:rPr>
            </w:pPr>
          </w:p>
          <w:p w14:paraId="54049B4D" w14:textId="77777777" w:rsidR="002A0D85" w:rsidRPr="004E53F9" w:rsidRDefault="002A0D85">
            <w:pPr>
              <w:rPr>
                <w:lang w:val="en-GB"/>
              </w:rPr>
            </w:pPr>
          </w:p>
        </w:tc>
      </w:tr>
      <w:tr w:rsidR="00855752" w:rsidRPr="004E53F9" w14:paraId="165F46C4" w14:textId="77777777" w:rsidTr="00E4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0F76D132" w14:textId="75CB24F5" w:rsidR="005514B9" w:rsidRPr="005514B9" w:rsidRDefault="00855752" w:rsidP="003C7947">
            <w:pPr>
              <w:rPr>
                <w:rStyle w:val="normaltextrun"/>
                <w:rFonts w:ascii="Helvetica" w:eastAsiaTheme="majorEastAsia" w:hAnsi="Helvetica" w:cs="Helvetica"/>
                <w:b w:val="0"/>
                <w:bCs w:val="0"/>
                <w:sz w:val="16"/>
                <w:szCs w:val="16"/>
                <w:lang w:val="en-GB"/>
              </w:rPr>
            </w:pPr>
            <w:r w:rsidRPr="004E53F9">
              <w:rPr>
                <w:sz w:val="24"/>
                <w:szCs w:val="24"/>
                <w:lang w:val="en-GB" w:bidi="en-US"/>
              </w:rPr>
              <w:t>Case for Nomination (1000 words</w:t>
            </w:r>
            <w:r w:rsidR="002A0D85">
              <w:rPr>
                <w:sz w:val="24"/>
                <w:szCs w:val="24"/>
                <w:lang w:val="en-GB" w:bidi="en-US"/>
              </w:rPr>
              <w:t xml:space="preserve"> in total</w:t>
            </w:r>
            <w:r w:rsidRPr="004E53F9">
              <w:rPr>
                <w:sz w:val="24"/>
                <w:szCs w:val="24"/>
                <w:lang w:val="en-GB" w:bidi="en-US"/>
              </w:rPr>
              <w:t>):</w:t>
            </w:r>
            <w:r w:rsidR="005514B9">
              <w:rPr>
                <w:sz w:val="24"/>
                <w:szCs w:val="24"/>
                <w:lang w:val="en-GB" w:bidi="en-US"/>
              </w:rPr>
              <w:t xml:space="preserve"> </w:t>
            </w:r>
            <w:bookmarkStart w:id="5" w:name="_Hlk166701309"/>
          </w:p>
          <w:bookmarkEnd w:id="5"/>
          <w:p w14:paraId="7DDAE071" w14:textId="52C4E13D" w:rsidR="31F0C4B1" w:rsidRPr="003C7947" w:rsidRDefault="31F0C4B1" w:rsidP="31F0C4B1">
            <w:pPr>
              <w:rPr>
                <w:rFonts w:ascii="Helvetica" w:eastAsia="Helvetica" w:hAnsi="Helvetica" w:cs="Helvetica"/>
                <w:sz w:val="16"/>
                <w:szCs w:val="16"/>
                <w:lang w:val="en-GB"/>
              </w:rPr>
            </w:pPr>
          </w:p>
          <w:p w14:paraId="2B3157CA" w14:textId="7719BB4D" w:rsidR="003C7947" w:rsidRPr="003C7947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323232"/>
                <w:lang w:val="en-GB"/>
              </w:rPr>
            </w:pPr>
            <w:r>
              <w:rPr>
                <w:color w:val="323232"/>
                <w:lang w:val="en-GB"/>
              </w:rPr>
              <w:t xml:space="preserve">1. </w:t>
            </w:r>
            <w:r w:rsidR="003C7947" w:rsidRPr="003C7947">
              <w:rPr>
                <w:color w:val="323232"/>
                <w:lang w:val="en-GB"/>
              </w:rPr>
              <w:t>Background and underlying ideas (rationale) including National/regional/local context</w:t>
            </w:r>
          </w:p>
          <w:p w14:paraId="79067999" w14:textId="77777777" w:rsidR="002A0D85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323232"/>
                <w:lang w:val="en-GB"/>
              </w:rPr>
            </w:pPr>
          </w:p>
          <w:p w14:paraId="742BBD1F" w14:textId="3096E1B3" w:rsidR="003C7947" w:rsidRPr="003C7947" w:rsidRDefault="003C7947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 w:val="0"/>
                <w:bCs w:val="0"/>
                <w:color w:val="323232"/>
                <w:lang w:val="en-GB"/>
              </w:rPr>
            </w:pPr>
          </w:p>
          <w:p w14:paraId="1C29EFBA" w14:textId="43EA3682" w:rsidR="002A0D85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 w:val="0"/>
                <w:bCs w:val="0"/>
                <w:color w:val="323232"/>
                <w:lang w:val="en-GB"/>
              </w:rPr>
            </w:pPr>
            <w:r>
              <w:rPr>
                <w:color w:val="323232"/>
                <w:lang w:val="en-GB"/>
              </w:rPr>
              <w:t xml:space="preserve">2. </w:t>
            </w:r>
            <w:r w:rsidR="003C7947" w:rsidRPr="003C7947">
              <w:rPr>
                <w:color w:val="323232"/>
                <w:lang w:val="en-GB"/>
              </w:rPr>
              <w:t xml:space="preserve">Sources of inspiration – e.g. existing knowledge, including references about university teaching/engineering education </w:t>
            </w:r>
          </w:p>
          <w:p w14:paraId="66B3944C" w14:textId="77777777" w:rsidR="002A0D85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 w:val="0"/>
                <w:bCs w:val="0"/>
                <w:color w:val="323232"/>
                <w:lang w:val="en-GB"/>
              </w:rPr>
            </w:pPr>
          </w:p>
          <w:p w14:paraId="22ECA580" w14:textId="77777777" w:rsidR="002A0D85" w:rsidRPr="003C7947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323232"/>
                <w:lang w:val="en-GB"/>
              </w:rPr>
            </w:pPr>
          </w:p>
          <w:p w14:paraId="548F5B76" w14:textId="3A2E4A93" w:rsidR="00140DE6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 w:val="0"/>
                <w:bCs w:val="0"/>
                <w:color w:val="323232"/>
                <w:lang w:val="en-GB"/>
              </w:rPr>
            </w:pPr>
            <w:r>
              <w:rPr>
                <w:color w:val="323232"/>
                <w:lang w:val="en-GB"/>
              </w:rPr>
              <w:t xml:space="preserve">3. </w:t>
            </w:r>
            <w:r w:rsidR="003C7947" w:rsidRPr="00140DE6">
              <w:rPr>
                <w:color w:val="323232"/>
                <w:lang w:val="en-GB"/>
              </w:rPr>
              <w:t>Applied teaching methods and grounds for choice of methods</w:t>
            </w:r>
          </w:p>
          <w:p w14:paraId="592CFBD9" w14:textId="77777777" w:rsidR="002A0D85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 w:val="0"/>
                <w:bCs w:val="0"/>
                <w:color w:val="323232"/>
                <w:lang w:val="en-GB"/>
              </w:rPr>
            </w:pPr>
          </w:p>
          <w:p w14:paraId="02B1E3B9" w14:textId="77777777" w:rsidR="002A0D85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 w:val="0"/>
                <w:bCs w:val="0"/>
                <w:color w:val="323232"/>
                <w:lang w:val="en-GB"/>
              </w:rPr>
            </w:pPr>
          </w:p>
          <w:p w14:paraId="583C0D79" w14:textId="0C7F3CDF" w:rsidR="003C7947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 w:val="0"/>
                <w:bCs w:val="0"/>
                <w:color w:val="323232"/>
                <w:lang w:val="en-GB"/>
              </w:rPr>
            </w:pPr>
            <w:r>
              <w:rPr>
                <w:color w:val="323232"/>
                <w:lang w:val="en-GB"/>
              </w:rPr>
              <w:t xml:space="preserve">4. </w:t>
            </w:r>
            <w:r w:rsidR="003C7947" w:rsidRPr="00140DE6">
              <w:rPr>
                <w:color w:val="323232"/>
                <w:lang w:val="en-GB"/>
              </w:rPr>
              <w:t>Results and impact on students, including effects on student learning outcomes</w:t>
            </w:r>
          </w:p>
          <w:p w14:paraId="26C47A9C" w14:textId="77777777" w:rsidR="002A0D85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 w:val="0"/>
                <w:bCs w:val="0"/>
                <w:color w:val="323232"/>
                <w:lang w:val="en-GB"/>
              </w:rPr>
            </w:pPr>
          </w:p>
          <w:p w14:paraId="597C61E7" w14:textId="77777777" w:rsidR="002A0D85" w:rsidRPr="00140DE6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323232"/>
                <w:lang w:val="en-GB"/>
              </w:rPr>
            </w:pPr>
          </w:p>
          <w:p w14:paraId="655985B6" w14:textId="165855A0" w:rsidR="003C7947" w:rsidRPr="00140DE6" w:rsidRDefault="002A0D85" w:rsidP="003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323232"/>
                <w:lang w:val="en-GB"/>
              </w:rPr>
            </w:pPr>
            <w:r>
              <w:rPr>
                <w:color w:val="323232"/>
                <w:lang w:val="en-GB"/>
              </w:rPr>
              <w:t xml:space="preserve">5. </w:t>
            </w:r>
            <w:r w:rsidR="003C7947" w:rsidRPr="00140DE6">
              <w:rPr>
                <w:color w:val="323232"/>
                <w:lang w:val="en-GB"/>
              </w:rPr>
              <w:t xml:space="preserve">Significance for Engineering Education elaborating on local/regional/national/international applicability, </w:t>
            </w:r>
            <w:r w:rsidRPr="00140DE6">
              <w:rPr>
                <w:color w:val="323232"/>
                <w:lang w:val="en-GB"/>
              </w:rPr>
              <w:t>dissemination,</w:t>
            </w:r>
            <w:r w:rsidR="003C7947" w:rsidRPr="00140DE6">
              <w:rPr>
                <w:color w:val="323232"/>
                <w:lang w:val="en-GB"/>
              </w:rPr>
              <w:t xml:space="preserve"> and impact.</w:t>
            </w:r>
          </w:p>
          <w:p w14:paraId="4DC126ED" w14:textId="77777777" w:rsidR="00A970AE" w:rsidRDefault="00A970AE" w:rsidP="00A97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 w:val="0"/>
                <w:bCs w:val="0"/>
                <w:color w:val="323232"/>
                <w:lang w:val="en-GB"/>
              </w:rPr>
            </w:pPr>
          </w:p>
          <w:p w14:paraId="2B565011" w14:textId="77777777" w:rsidR="00A970AE" w:rsidRDefault="00A970AE" w:rsidP="00A97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b w:val="0"/>
                <w:bCs w:val="0"/>
                <w:color w:val="323232"/>
                <w:lang w:val="en-GB"/>
              </w:rPr>
            </w:pPr>
          </w:p>
          <w:p w14:paraId="1AC4B153" w14:textId="77777777" w:rsidR="00855752" w:rsidRPr="004E53F9" w:rsidRDefault="00855752" w:rsidP="00260BF4">
            <w:pPr>
              <w:rPr>
                <w:lang w:val="en-GB" w:bidi="en-US"/>
              </w:rPr>
            </w:pPr>
          </w:p>
          <w:p w14:paraId="150FC4A1" w14:textId="77777777" w:rsidR="00855752" w:rsidRPr="004E53F9" w:rsidRDefault="00855752" w:rsidP="00260BF4">
            <w:pPr>
              <w:rPr>
                <w:lang w:val="en-GB" w:bidi="en-US"/>
              </w:rPr>
            </w:pPr>
          </w:p>
          <w:p w14:paraId="18F7039F" w14:textId="77777777" w:rsidR="00855752" w:rsidRPr="004E53F9" w:rsidRDefault="00855752" w:rsidP="00260BF4">
            <w:pPr>
              <w:rPr>
                <w:lang w:val="en-GB" w:bidi="en-US"/>
              </w:rPr>
            </w:pPr>
          </w:p>
          <w:p w14:paraId="1E2541F0" w14:textId="77777777" w:rsidR="00855752" w:rsidRPr="004E53F9" w:rsidRDefault="00855752" w:rsidP="00260BF4">
            <w:pPr>
              <w:rPr>
                <w:lang w:val="en-GB" w:bidi="en-US"/>
              </w:rPr>
            </w:pPr>
          </w:p>
        </w:tc>
      </w:tr>
    </w:tbl>
    <w:p w14:paraId="49F24441" w14:textId="77777777" w:rsidR="00B771EF" w:rsidRPr="004E53F9" w:rsidRDefault="00B771EF" w:rsidP="00CD2F8E">
      <w:pPr>
        <w:rPr>
          <w:lang w:val="en-GB"/>
        </w:rPr>
      </w:pPr>
    </w:p>
    <w:sectPr w:rsidR="00B771EF" w:rsidRPr="004E53F9" w:rsidSect="000F4058"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7096C" w14:textId="77777777" w:rsidR="003F54FF" w:rsidRDefault="003F54FF" w:rsidP="000735FA">
      <w:r>
        <w:separator/>
      </w:r>
    </w:p>
  </w:endnote>
  <w:endnote w:type="continuationSeparator" w:id="0">
    <w:p w14:paraId="39B1B701" w14:textId="77777777" w:rsidR="003F54FF" w:rsidRDefault="003F54FF" w:rsidP="000735FA">
      <w:r>
        <w:continuationSeparator/>
      </w:r>
    </w:p>
  </w:endnote>
  <w:endnote w:type="continuationNotice" w:id="1">
    <w:p w14:paraId="66AAC8F9" w14:textId="77777777" w:rsidR="003F54FF" w:rsidRDefault="003F5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C5E7" w14:textId="77777777" w:rsidR="003F54FF" w:rsidRDefault="003F54FF" w:rsidP="000735FA">
      <w:r>
        <w:separator/>
      </w:r>
    </w:p>
  </w:footnote>
  <w:footnote w:type="continuationSeparator" w:id="0">
    <w:p w14:paraId="223873FC" w14:textId="77777777" w:rsidR="003F54FF" w:rsidRDefault="003F54FF" w:rsidP="000735FA">
      <w:r>
        <w:continuationSeparator/>
      </w:r>
    </w:p>
  </w:footnote>
  <w:footnote w:type="continuationNotice" w:id="1">
    <w:p w14:paraId="52B378F0" w14:textId="77777777" w:rsidR="003F54FF" w:rsidRDefault="003F5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1D32" w14:textId="77777777" w:rsidR="000F4058" w:rsidRDefault="000F4058">
    <w:pPr>
      <w:pStyle w:val="Header"/>
    </w:pPr>
    <w:r>
      <w:rPr>
        <w:noProof/>
        <w:lang w:eastAsia="en-US"/>
      </w:rPr>
      <w:drawing>
        <wp:inline distT="0" distB="0" distL="0" distR="0" wp14:anchorId="3DF0D8E5" wp14:editId="5BBD9A0A">
          <wp:extent cx="3812646" cy="5238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fi_logo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6901" cy="525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1AD7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F11DF"/>
    <w:multiLevelType w:val="hybridMultilevel"/>
    <w:tmpl w:val="A6D0F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0166"/>
    <w:multiLevelType w:val="multilevel"/>
    <w:tmpl w:val="68785A5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26144A8"/>
    <w:multiLevelType w:val="multilevel"/>
    <w:tmpl w:val="2A42B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6241164"/>
    <w:multiLevelType w:val="hybridMultilevel"/>
    <w:tmpl w:val="DEA26F62"/>
    <w:lvl w:ilvl="0" w:tplc="7F068ED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5451"/>
    <w:multiLevelType w:val="hybridMultilevel"/>
    <w:tmpl w:val="B46047E4"/>
    <w:lvl w:ilvl="0" w:tplc="7F068ED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758C1"/>
    <w:multiLevelType w:val="hybridMultilevel"/>
    <w:tmpl w:val="7B20FFC8"/>
    <w:lvl w:ilvl="0" w:tplc="7F068ED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2F42"/>
    <w:multiLevelType w:val="hybridMultilevel"/>
    <w:tmpl w:val="61CC4C6C"/>
    <w:lvl w:ilvl="0" w:tplc="7F068ED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45065">
    <w:abstractNumId w:val="0"/>
  </w:num>
  <w:num w:numId="2" w16cid:durableId="1619529809">
    <w:abstractNumId w:val="2"/>
  </w:num>
  <w:num w:numId="3" w16cid:durableId="1844977492">
    <w:abstractNumId w:val="3"/>
  </w:num>
  <w:num w:numId="4" w16cid:durableId="1120950314">
    <w:abstractNumId w:val="1"/>
  </w:num>
  <w:num w:numId="5" w16cid:durableId="1472744998">
    <w:abstractNumId w:val="5"/>
  </w:num>
  <w:num w:numId="6" w16cid:durableId="1926767713">
    <w:abstractNumId w:val="6"/>
  </w:num>
  <w:num w:numId="7" w16cid:durableId="1747457029">
    <w:abstractNumId w:val="4"/>
  </w:num>
  <w:num w:numId="8" w16cid:durableId="1594897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D7"/>
    <w:rsid w:val="000004A3"/>
    <w:rsid w:val="00015506"/>
    <w:rsid w:val="00022924"/>
    <w:rsid w:val="00026CEA"/>
    <w:rsid w:val="000350DC"/>
    <w:rsid w:val="00035150"/>
    <w:rsid w:val="0003528C"/>
    <w:rsid w:val="000401A9"/>
    <w:rsid w:val="0004437B"/>
    <w:rsid w:val="00044E77"/>
    <w:rsid w:val="00046049"/>
    <w:rsid w:val="000735FA"/>
    <w:rsid w:val="00081C1F"/>
    <w:rsid w:val="00087725"/>
    <w:rsid w:val="0009105F"/>
    <w:rsid w:val="0009367B"/>
    <w:rsid w:val="000A65E2"/>
    <w:rsid w:val="000A713D"/>
    <w:rsid w:val="000E1C4E"/>
    <w:rsid w:val="000E44DD"/>
    <w:rsid w:val="000F4058"/>
    <w:rsid w:val="00103744"/>
    <w:rsid w:val="00115ACD"/>
    <w:rsid w:val="0011736A"/>
    <w:rsid w:val="0013226D"/>
    <w:rsid w:val="00140DE6"/>
    <w:rsid w:val="001457BB"/>
    <w:rsid w:val="00160C95"/>
    <w:rsid w:val="00171045"/>
    <w:rsid w:val="0017394A"/>
    <w:rsid w:val="0018565F"/>
    <w:rsid w:val="001857D4"/>
    <w:rsid w:val="001A0C41"/>
    <w:rsid w:val="001A7B70"/>
    <w:rsid w:val="001A7E69"/>
    <w:rsid w:val="001B02AA"/>
    <w:rsid w:val="001B1A67"/>
    <w:rsid w:val="001B277C"/>
    <w:rsid w:val="001C5277"/>
    <w:rsid w:val="001C79A0"/>
    <w:rsid w:val="001D095D"/>
    <w:rsid w:val="001D422E"/>
    <w:rsid w:val="001D46F4"/>
    <w:rsid w:val="001D6C13"/>
    <w:rsid w:val="001E0897"/>
    <w:rsid w:val="001E0923"/>
    <w:rsid w:val="001E0C24"/>
    <w:rsid w:val="001E0C7B"/>
    <w:rsid w:val="001E5CA4"/>
    <w:rsid w:val="001E7AFA"/>
    <w:rsid w:val="002032CE"/>
    <w:rsid w:val="002060BB"/>
    <w:rsid w:val="00206B46"/>
    <w:rsid w:val="00207ED8"/>
    <w:rsid w:val="002136A0"/>
    <w:rsid w:val="002212D0"/>
    <w:rsid w:val="00232FE5"/>
    <w:rsid w:val="002377B2"/>
    <w:rsid w:val="002451B1"/>
    <w:rsid w:val="00246649"/>
    <w:rsid w:val="00246E53"/>
    <w:rsid w:val="00257A5C"/>
    <w:rsid w:val="00260BF4"/>
    <w:rsid w:val="00287BCB"/>
    <w:rsid w:val="002A0D85"/>
    <w:rsid w:val="002A20FD"/>
    <w:rsid w:val="002A376B"/>
    <w:rsid w:val="002A461C"/>
    <w:rsid w:val="002B46CD"/>
    <w:rsid w:val="002B5089"/>
    <w:rsid w:val="002C409A"/>
    <w:rsid w:val="002D5051"/>
    <w:rsid w:val="002D5FED"/>
    <w:rsid w:val="002E74C0"/>
    <w:rsid w:val="00302575"/>
    <w:rsid w:val="003025ED"/>
    <w:rsid w:val="00303392"/>
    <w:rsid w:val="00315095"/>
    <w:rsid w:val="003225B3"/>
    <w:rsid w:val="00326C14"/>
    <w:rsid w:val="003335BF"/>
    <w:rsid w:val="00334EA2"/>
    <w:rsid w:val="00343B20"/>
    <w:rsid w:val="00351B1A"/>
    <w:rsid w:val="00352885"/>
    <w:rsid w:val="00354695"/>
    <w:rsid w:val="00363BE3"/>
    <w:rsid w:val="003655E0"/>
    <w:rsid w:val="00365E59"/>
    <w:rsid w:val="00377BDF"/>
    <w:rsid w:val="003806ED"/>
    <w:rsid w:val="0038292B"/>
    <w:rsid w:val="003C56DA"/>
    <w:rsid w:val="003C7947"/>
    <w:rsid w:val="003D3FFB"/>
    <w:rsid w:val="003E1052"/>
    <w:rsid w:val="003E587A"/>
    <w:rsid w:val="003F00EE"/>
    <w:rsid w:val="003F54FF"/>
    <w:rsid w:val="00404740"/>
    <w:rsid w:val="004175AC"/>
    <w:rsid w:val="00433B0A"/>
    <w:rsid w:val="00446D8B"/>
    <w:rsid w:val="00456763"/>
    <w:rsid w:val="00460E16"/>
    <w:rsid w:val="00461EE6"/>
    <w:rsid w:val="004649B5"/>
    <w:rsid w:val="00464EDA"/>
    <w:rsid w:val="00467B88"/>
    <w:rsid w:val="00473781"/>
    <w:rsid w:val="00480062"/>
    <w:rsid w:val="00483505"/>
    <w:rsid w:val="004D0B75"/>
    <w:rsid w:val="004E1CD3"/>
    <w:rsid w:val="004E2636"/>
    <w:rsid w:val="004E53F9"/>
    <w:rsid w:val="004E684B"/>
    <w:rsid w:val="005105EB"/>
    <w:rsid w:val="00514042"/>
    <w:rsid w:val="00523C6F"/>
    <w:rsid w:val="005376DB"/>
    <w:rsid w:val="00541CFF"/>
    <w:rsid w:val="00544EAD"/>
    <w:rsid w:val="00550513"/>
    <w:rsid w:val="005514B9"/>
    <w:rsid w:val="00561CF5"/>
    <w:rsid w:val="0057025B"/>
    <w:rsid w:val="005772AE"/>
    <w:rsid w:val="005901AD"/>
    <w:rsid w:val="005A0ABC"/>
    <w:rsid w:val="005A27B5"/>
    <w:rsid w:val="005A670A"/>
    <w:rsid w:val="005C4822"/>
    <w:rsid w:val="005D3452"/>
    <w:rsid w:val="005F2731"/>
    <w:rsid w:val="005F2C8E"/>
    <w:rsid w:val="005F51C0"/>
    <w:rsid w:val="00600445"/>
    <w:rsid w:val="006013A8"/>
    <w:rsid w:val="00605A3A"/>
    <w:rsid w:val="00612701"/>
    <w:rsid w:val="006235D1"/>
    <w:rsid w:val="0063745B"/>
    <w:rsid w:val="00653356"/>
    <w:rsid w:val="0065554D"/>
    <w:rsid w:val="00680785"/>
    <w:rsid w:val="006860B8"/>
    <w:rsid w:val="00693ED6"/>
    <w:rsid w:val="006B12DC"/>
    <w:rsid w:val="006C5971"/>
    <w:rsid w:val="006D60DB"/>
    <w:rsid w:val="006E1C15"/>
    <w:rsid w:val="006F5DCF"/>
    <w:rsid w:val="006F62F6"/>
    <w:rsid w:val="00702866"/>
    <w:rsid w:val="00725528"/>
    <w:rsid w:val="00731B57"/>
    <w:rsid w:val="0073285D"/>
    <w:rsid w:val="00732D6C"/>
    <w:rsid w:val="007355DA"/>
    <w:rsid w:val="007379F0"/>
    <w:rsid w:val="00745807"/>
    <w:rsid w:val="007461B0"/>
    <w:rsid w:val="007504E1"/>
    <w:rsid w:val="0075155C"/>
    <w:rsid w:val="00756A13"/>
    <w:rsid w:val="00772993"/>
    <w:rsid w:val="007756D6"/>
    <w:rsid w:val="00776E8C"/>
    <w:rsid w:val="007931CE"/>
    <w:rsid w:val="007B5007"/>
    <w:rsid w:val="007B7163"/>
    <w:rsid w:val="007C290D"/>
    <w:rsid w:val="007C4321"/>
    <w:rsid w:val="007C6658"/>
    <w:rsid w:val="007D20DD"/>
    <w:rsid w:val="007D3DB7"/>
    <w:rsid w:val="007D536A"/>
    <w:rsid w:val="007E480B"/>
    <w:rsid w:val="008000C3"/>
    <w:rsid w:val="00804C08"/>
    <w:rsid w:val="0080534D"/>
    <w:rsid w:val="00812766"/>
    <w:rsid w:val="00816618"/>
    <w:rsid w:val="00823E56"/>
    <w:rsid w:val="00830548"/>
    <w:rsid w:val="00832C25"/>
    <w:rsid w:val="00834B3B"/>
    <w:rsid w:val="008362CD"/>
    <w:rsid w:val="008447C0"/>
    <w:rsid w:val="00845061"/>
    <w:rsid w:val="00850F20"/>
    <w:rsid w:val="00855752"/>
    <w:rsid w:val="0085782B"/>
    <w:rsid w:val="008650E3"/>
    <w:rsid w:val="00872BF3"/>
    <w:rsid w:val="00874235"/>
    <w:rsid w:val="008901EA"/>
    <w:rsid w:val="008A1B62"/>
    <w:rsid w:val="008B35C8"/>
    <w:rsid w:val="008B3D50"/>
    <w:rsid w:val="008C53EE"/>
    <w:rsid w:val="008D0689"/>
    <w:rsid w:val="008E350A"/>
    <w:rsid w:val="008F13F7"/>
    <w:rsid w:val="008F32E6"/>
    <w:rsid w:val="009058F2"/>
    <w:rsid w:val="00911BE1"/>
    <w:rsid w:val="00913F4A"/>
    <w:rsid w:val="0092596D"/>
    <w:rsid w:val="009360B1"/>
    <w:rsid w:val="00945F8E"/>
    <w:rsid w:val="00951662"/>
    <w:rsid w:val="0096142E"/>
    <w:rsid w:val="00961C76"/>
    <w:rsid w:val="00966B37"/>
    <w:rsid w:val="00970FFA"/>
    <w:rsid w:val="0097364F"/>
    <w:rsid w:val="00977473"/>
    <w:rsid w:val="009B5F15"/>
    <w:rsid w:val="009C31D7"/>
    <w:rsid w:val="009C4F96"/>
    <w:rsid w:val="009D2420"/>
    <w:rsid w:val="009E25B1"/>
    <w:rsid w:val="00A131EB"/>
    <w:rsid w:val="00A24F47"/>
    <w:rsid w:val="00A26851"/>
    <w:rsid w:val="00A35FED"/>
    <w:rsid w:val="00A70D4C"/>
    <w:rsid w:val="00A739B2"/>
    <w:rsid w:val="00A74767"/>
    <w:rsid w:val="00A86F6B"/>
    <w:rsid w:val="00A90F9E"/>
    <w:rsid w:val="00A970AE"/>
    <w:rsid w:val="00AA14EF"/>
    <w:rsid w:val="00AB2ED2"/>
    <w:rsid w:val="00AB3ADC"/>
    <w:rsid w:val="00AB49CA"/>
    <w:rsid w:val="00AC34AE"/>
    <w:rsid w:val="00AD42C9"/>
    <w:rsid w:val="00AF2B4A"/>
    <w:rsid w:val="00B00B29"/>
    <w:rsid w:val="00B04FEA"/>
    <w:rsid w:val="00B05BE8"/>
    <w:rsid w:val="00B13196"/>
    <w:rsid w:val="00B24570"/>
    <w:rsid w:val="00B2486D"/>
    <w:rsid w:val="00B26F58"/>
    <w:rsid w:val="00B3347F"/>
    <w:rsid w:val="00B41D72"/>
    <w:rsid w:val="00B425F2"/>
    <w:rsid w:val="00B60864"/>
    <w:rsid w:val="00B75D0A"/>
    <w:rsid w:val="00B771EF"/>
    <w:rsid w:val="00B824D2"/>
    <w:rsid w:val="00B842E4"/>
    <w:rsid w:val="00B92176"/>
    <w:rsid w:val="00BA73A4"/>
    <w:rsid w:val="00BA7817"/>
    <w:rsid w:val="00BD3F51"/>
    <w:rsid w:val="00BD6998"/>
    <w:rsid w:val="00BE1CC5"/>
    <w:rsid w:val="00BE5EE0"/>
    <w:rsid w:val="00C02FDE"/>
    <w:rsid w:val="00C23B9D"/>
    <w:rsid w:val="00C37690"/>
    <w:rsid w:val="00C43CF0"/>
    <w:rsid w:val="00C46531"/>
    <w:rsid w:val="00C52D1F"/>
    <w:rsid w:val="00C647DD"/>
    <w:rsid w:val="00C9045D"/>
    <w:rsid w:val="00C95145"/>
    <w:rsid w:val="00CA0F6D"/>
    <w:rsid w:val="00CA493F"/>
    <w:rsid w:val="00CA7281"/>
    <w:rsid w:val="00CB0F34"/>
    <w:rsid w:val="00CB1B33"/>
    <w:rsid w:val="00CC12D0"/>
    <w:rsid w:val="00CC76DE"/>
    <w:rsid w:val="00CD2F8E"/>
    <w:rsid w:val="00CE6432"/>
    <w:rsid w:val="00D1680F"/>
    <w:rsid w:val="00D2632E"/>
    <w:rsid w:val="00D26B15"/>
    <w:rsid w:val="00D26E82"/>
    <w:rsid w:val="00D329ED"/>
    <w:rsid w:val="00D35156"/>
    <w:rsid w:val="00D56691"/>
    <w:rsid w:val="00D57FBF"/>
    <w:rsid w:val="00D75642"/>
    <w:rsid w:val="00D77B64"/>
    <w:rsid w:val="00D935E1"/>
    <w:rsid w:val="00DA2F5E"/>
    <w:rsid w:val="00DA625F"/>
    <w:rsid w:val="00DB0387"/>
    <w:rsid w:val="00DB4C3E"/>
    <w:rsid w:val="00DB5072"/>
    <w:rsid w:val="00DB65A7"/>
    <w:rsid w:val="00DE4EE6"/>
    <w:rsid w:val="00E05428"/>
    <w:rsid w:val="00E05FF7"/>
    <w:rsid w:val="00E1135A"/>
    <w:rsid w:val="00E27E6F"/>
    <w:rsid w:val="00E3179D"/>
    <w:rsid w:val="00E36226"/>
    <w:rsid w:val="00E42934"/>
    <w:rsid w:val="00E4403A"/>
    <w:rsid w:val="00E44B0C"/>
    <w:rsid w:val="00E53D1D"/>
    <w:rsid w:val="00E71447"/>
    <w:rsid w:val="00E95301"/>
    <w:rsid w:val="00E96348"/>
    <w:rsid w:val="00E96DDC"/>
    <w:rsid w:val="00EA3230"/>
    <w:rsid w:val="00EA5379"/>
    <w:rsid w:val="00EB7B49"/>
    <w:rsid w:val="00ED3C44"/>
    <w:rsid w:val="00ED5B9B"/>
    <w:rsid w:val="00EE1F6D"/>
    <w:rsid w:val="00EF442A"/>
    <w:rsid w:val="00EF5D4A"/>
    <w:rsid w:val="00F01EA4"/>
    <w:rsid w:val="00F10401"/>
    <w:rsid w:val="00F5116B"/>
    <w:rsid w:val="00F57E9B"/>
    <w:rsid w:val="00F6383E"/>
    <w:rsid w:val="00F77597"/>
    <w:rsid w:val="00F779DF"/>
    <w:rsid w:val="00F816EF"/>
    <w:rsid w:val="00F93739"/>
    <w:rsid w:val="00F93FFF"/>
    <w:rsid w:val="00F9508A"/>
    <w:rsid w:val="00F967DA"/>
    <w:rsid w:val="00FA7922"/>
    <w:rsid w:val="00FB1486"/>
    <w:rsid w:val="00FB3105"/>
    <w:rsid w:val="00FC0607"/>
    <w:rsid w:val="00FC5286"/>
    <w:rsid w:val="00FD48D9"/>
    <w:rsid w:val="00FE138B"/>
    <w:rsid w:val="00FE601E"/>
    <w:rsid w:val="00FF536A"/>
    <w:rsid w:val="0108BF61"/>
    <w:rsid w:val="01D48F28"/>
    <w:rsid w:val="03BB7A52"/>
    <w:rsid w:val="03BFF10B"/>
    <w:rsid w:val="04E474AE"/>
    <w:rsid w:val="064E72AF"/>
    <w:rsid w:val="0A64E186"/>
    <w:rsid w:val="0DB05513"/>
    <w:rsid w:val="0F9E0B06"/>
    <w:rsid w:val="103CDF7C"/>
    <w:rsid w:val="10D4DB35"/>
    <w:rsid w:val="12592763"/>
    <w:rsid w:val="1349BA73"/>
    <w:rsid w:val="138B1A1D"/>
    <w:rsid w:val="15A986A9"/>
    <w:rsid w:val="15B2A4D1"/>
    <w:rsid w:val="15FA1F90"/>
    <w:rsid w:val="168813D2"/>
    <w:rsid w:val="1955AF70"/>
    <w:rsid w:val="19DEB366"/>
    <w:rsid w:val="1A52FB32"/>
    <w:rsid w:val="1BA7677B"/>
    <w:rsid w:val="1CEE1E66"/>
    <w:rsid w:val="1EB10F12"/>
    <w:rsid w:val="1F7C1DDF"/>
    <w:rsid w:val="204BDBB5"/>
    <w:rsid w:val="20C847BF"/>
    <w:rsid w:val="219D1587"/>
    <w:rsid w:val="235717B6"/>
    <w:rsid w:val="249D7630"/>
    <w:rsid w:val="2701E4AD"/>
    <w:rsid w:val="29B6E382"/>
    <w:rsid w:val="29DA9D41"/>
    <w:rsid w:val="2BFD0EB7"/>
    <w:rsid w:val="2C2560F3"/>
    <w:rsid w:val="2CB6DF97"/>
    <w:rsid w:val="31A5312F"/>
    <w:rsid w:val="31F0C4B1"/>
    <w:rsid w:val="343072D8"/>
    <w:rsid w:val="35CC4339"/>
    <w:rsid w:val="36B77349"/>
    <w:rsid w:val="38A0F94A"/>
    <w:rsid w:val="38E2823A"/>
    <w:rsid w:val="39C8C3E9"/>
    <w:rsid w:val="3AA94498"/>
    <w:rsid w:val="3B3E4B9E"/>
    <w:rsid w:val="412B81DC"/>
    <w:rsid w:val="4188E6DB"/>
    <w:rsid w:val="442B9E90"/>
    <w:rsid w:val="444E8428"/>
    <w:rsid w:val="456C90E6"/>
    <w:rsid w:val="464AC992"/>
    <w:rsid w:val="46ED4931"/>
    <w:rsid w:val="4ACE49D6"/>
    <w:rsid w:val="4C8718BA"/>
    <w:rsid w:val="4F7F540E"/>
    <w:rsid w:val="51923122"/>
    <w:rsid w:val="5286F909"/>
    <w:rsid w:val="5302B582"/>
    <w:rsid w:val="534A0AE7"/>
    <w:rsid w:val="53BE81B8"/>
    <w:rsid w:val="56D60BB0"/>
    <w:rsid w:val="57FA7C28"/>
    <w:rsid w:val="59940F99"/>
    <w:rsid w:val="613C631F"/>
    <w:rsid w:val="6239AF4A"/>
    <w:rsid w:val="6350947B"/>
    <w:rsid w:val="63783DFC"/>
    <w:rsid w:val="64C36D89"/>
    <w:rsid w:val="652C88EA"/>
    <w:rsid w:val="65992E51"/>
    <w:rsid w:val="65B95857"/>
    <w:rsid w:val="6941DBBB"/>
    <w:rsid w:val="6992D8C0"/>
    <w:rsid w:val="6A1759F3"/>
    <w:rsid w:val="6B4CF6AB"/>
    <w:rsid w:val="6C31F34E"/>
    <w:rsid w:val="6CCE2652"/>
    <w:rsid w:val="6EDFBFB5"/>
    <w:rsid w:val="715B0F0B"/>
    <w:rsid w:val="74E598D6"/>
    <w:rsid w:val="758E397D"/>
    <w:rsid w:val="75D90D89"/>
    <w:rsid w:val="75F1EC6B"/>
    <w:rsid w:val="7676711D"/>
    <w:rsid w:val="7729660B"/>
    <w:rsid w:val="783F2AE7"/>
    <w:rsid w:val="78ABE108"/>
    <w:rsid w:val="7D8BFBDC"/>
    <w:rsid w:val="7F340B86"/>
    <w:rsid w:val="7F54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0CD346"/>
  <w15:chartTrackingRefBased/>
  <w15:docId w15:val="{C792ABDC-25C7-4B3C-8FDB-70D0ED41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D7"/>
    <w:pPr>
      <w:spacing w:after="0" w:line="240" w:lineRule="auto"/>
    </w:pPr>
    <w:rPr>
      <w:rFonts w:ascii="Calibri" w:hAnsi="Calibri" w:cs="Calibri"/>
      <w:lang w:val="en-US"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575"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1D7"/>
    <w:rPr>
      <w:color w:val="0563C1" w:themeColor="hyperlink"/>
      <w:u w:val="single"/>
    </w:rPr>
  </w:style>
  <w:style w:type="table" w:styleId="MediumGrid3-Accent2">
    <w:name w:val="Medium Grid 3 Accent 2"/>
    <w:basedOn w:val="TableNormal"/>
    <w:uiPriority w:val="69"/>
    <w:rsid w:val="009C31D7"/>
    <w:pPr>
      <w:spacing w:after="0" w:line="240" w:lineRule="auto"/>
    </w:pPr>
    <w:rPr>
      <w:rFonts w:eastAsiaTheme="minorEastAsia"/>
      <w:lang w:val="en-US"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1-Accent2">
    <w:name w:val="Medium Grid 1 Accent 2"/>
    <w:basedOn w:val="TableNormal"/>
    <w:uiPriority w:val="67"/>
    <w:rsid w:val="009C31D7"/>
    <w:pPr>
      <w:spacing w:after="0" w:line="240" w:lineRule="auto"/>
    </w:pPr>
    <w:rPr>
      <w:rFonts w:eastAsiaTheme="minorEastAsia"/>
      <w:lang w:val="en-US" w:eastAsia="da-DK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ListBullet">
    <w:name w:val="List Bullet"/>
    <w:basedOn w:val="Normal"/>
    <w:uiPriority w:val="99"/>
    <w:unhideWhenUsed/>
    <w:rsid w:val="009C31D7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25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 w:eastAsia="da-DK"/>
    </w:rPr>
  </w:style>
  <w:style w:type="paragraph" w:styleId="Header">
    <w:name w:val="header"/>
    <w:basedOn w:val="Normal"/>
    <w:link w:val="HeaderChar"/>
    <w:uiPriority w:val="99"/>
    <w:unhideWhenUsed/>
    <w:rsid w:val="000735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5FA"/>
    <w:rPr>
      <w:rFonts w:ascii="Calibri" w:hAnsi="Calibri" w:cs="Calibri"/>
      <w:lang w:val="en-US" w:eastAsia="da-DK"/>
    </w:rPr>
  </w:style>
  <w:style w:type="paragraph" w:styleId="Footer">
    <w:name w:val="footer"/>
    <w:basedOn w:val="Normal"/>
    <w:link w:val="FooterChar"/>
    <w:uiPriority w:val="99"/>
    <w:unhideWhenUsed/>
    <w:rsid w:val="00073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5FA"/>
    <w:rPr>
      <w:rFonts w:ascii="Calibri" w:hAnsi="Calibri" w:cs="Calibri"/>
      <w:lang w:val="en-US" w:eastAsia="da-D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05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D3F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3D3FFB"/>
  </w:style>
  <w:style w:type="character" w:customStyle="1" w:styleId="eop">
    <w:name w:val="eop"/>
    <w:basedOn w:val="DefaultParagraphFont"/>
    <w:rsid w:val="003D3FFB"/>
  </w:style>
  <w:style w:type="character" w:styleId="UnresolvedMention">
    <w:name w:val="Unresolved Mention"/>
    <w:basedOn w:val="DefaultParagraphFont"/>
    <w:uiPriority w:val="99"/>
    <w:semiHidden/>
    <w:unhideWhenUsed/>
    <w:rsid w:val="00B9217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92176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3C7947"/>
    <w:pPr>
      <w:spacing w:after="0" w:line="240" w:lineRule="auto"/>
    </w:pPr>
    <w:rPr>
      <w:rFonts w:ascii="Calibri" w:hAnsi="Calibri" w:cs="Calibri"/>
      <w:lang w:val="en-US" w:eastAsia="da-DK"/>
    </w:rPr>
  </w:style>
  <w:style w:type="paragraph" w:styleId="ListParagraph">
    <w:name w:val="List Paragraph"/>
    <w:basedOn w:val="Normal"/>
    <w:uiPriority w:val="34"/>
    <w:qFormat/>
    <w:rsid w:val="003C7947"/>
    <w:pPr>
      <w:ind w:left="720"/>
      <w:contextualSpacing/>
    </w:pPr>
  </w:style>
  <w:style w:type="paragraph" w:styleId="Revision">
    <w:name w:val="Revision"/>
    <w:hidden/>
    <w:uiPriority w:val="99"/>
    <w:semiHidden/>
    <w:rsid w:val="002A0D85"/>
    <w:pPr>
      <w:spacing w:after="0" w:line="240" w:lineRule="auto"/>
    </w:pPr>
    <w:rPr>
      <w:rFonts w:ascii="Calibri" w:hAnsi="Calibri" w:cs="Calibri"/>
      <w:lang w:val="en-US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2A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D85"/>
    <w:rPr>
      <w:rFonts w:ascii="Calibri" w:hAnsi="Calibri" w:cs="Calibri"/>
      <w:sz w:val="20"/>
      <w:szCs w:val="20"/>
      <w:lang w:val="en-US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D85"/>
    <w:rPr>
      <w:rFonts w:ascii="Calibri" w:hAnsi="Calibri" w:cs="Calibri"/>
      <w:b/>
      <w:bCs/>
      <w:sz w:val="20"/>
      <w:szCs w:val="20"/>
      <w:lang w:val="en-US"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2A0D85"/>
    <w:rPr>
      <w:color w:val="954F72" w:themeColor="followedHyperlink"/>
      <w:u w:val="single"/>
    </w:rPr>
  </w:style>
  <w:style w:type="character" w:customStyle="1" w:styleId="outlook-search-highlight">
    <w:name w:val="outlook-search-highlight"/>
    <w:basedOn w:val="DefaultParagraphFont"/>
    <w:rsid w:val="002A0D85"/>
  </w:style>
  <w:style w:type="table" w:styleId="ListTable1Light">
    <w:name w:val="List Table 1 Light"/>
    <w:basedOn w:val="TableNormal"/>
    <w:uiPriority w:val="46"/>
    <w:rsid w:val="002A0D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5">
    <w:name w:val="List Table 2 Accent 5"/>
    <w:basedOn w:val="TableNormal"/>
    <w:uiPriority w:val="47"/>
    <w:rsid w:val="002A0D8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anna.naukkarinen@lut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fi.be/2024/09/13/sefi-francesco-maffioli-award-recognizes-dr-ir-volkert-van-steijn-and-the-pre-university-team-for-the-pre-university-onboarding-programm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D94AF76225947B879C3D2EFCF4E71" ma:contentTypeVersion="14" ma:contentTypeDescription="Create a new document." ma:contentTypeScope="" ma:versionID="0c6cbe6f83d94c37b861e5e6fce5639f">
  <xsd:schema xmlns:xsd="http://www.w3.org/2001/XMLSchema" xmlns:xs="http://www.w3.org/2001/XMLSchema" xmlns:p="http://schemas.microsoft.com/office/2006/metadata/properties" xmlns:ns2="7f28075c-40fa-4dc7-ae9b-9b8ef27615fd" xmlns:ns3="c5900632-1dff-4f7a-9ce1-d18169921827" targetNamespace="http://schemas.microsoft.com/office/2006/metadata/properties" ma:root="true" ma:fieldsID="b9d6e10b1675aeb21fbc96ae3e9ceefa" ns2:_="" ns3:_="">
    <xsd:import namespace="7f28075c-40fa-4dc7-ae9b-9b8ef27615fd"/>
    <xsd:import namespace="c5900632-1dff-4f7a-9ce1-d18169921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8075c-40fa-4dc7-ae9b-9b8ef276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5eaf389-1862-4172-ae78-bb724b123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00632-1dff-4f7a-9ce1-d181699218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748226-d72b-47e0-93b4-27b8ce62db0d}" ma:internalName="TaxCatchAll" ma:showField="CatchAllData" ma:web="c5900632-1dff-4f7a-9ce1-d18169921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900632-1dff-4f7a-9ce1-d18169921827" xsi:nil="true"/>
    <lcf76f155ced4ddcb4097134ff3c332f xmlns="7f28075c-40fa-4dc7-ae9b-9b8ef27615f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AA4E-144B-4B6F-B9B1-9D3BA37C0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5C8CF-982E-4B0A-8B5F-3944C4B5C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8075c-40fa-4dc7-ae9b-9b8ef27615fd"/>
    <ds:schemaRef ds:uri="c5900632-1dff-4f7a-9ce1-d18169921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23DEA-6D45-4E23-A70C-3EE0F7266D3C}">
  <ds:schemaRefs>
    <ds:schemaRef ds:uri="http://schemas.microsoft.com/office/2006/metadata/properties"/>
    <ds:schemaRef ds:uri="http://schemas.microsoft.com/office/infopath/2007/PartnerControls"/>
    <ds:schemaRef ds:uri="c5900632-1dff-4f7a-9ce1-d18169921827"/>
    <ds:schemaRef ds:uri="7f28075c-40fa-4dc7-ae9b-9b8ef27615fd"/>
  </ds:schemaRefs>
</ds:datastoreItem>
</file>

<file path=customXml/itemProps4.xml><?xml version="1.0" encoding="utf-8"?>
<ds:datastoreItem xmlns:ds="http://schemas.openxmlformats.org/officeDocument/2006/customXml" ds:itemID="{E088F820-4966-4299-A289-F46F22EE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3897</CharactersWithSpaces>
  <SharedDoc>false</SharedDoc>
  <HLinks>
    <vt:vector size="18" baseType="variant">
      <vt:variant>
        <vt:i4>524356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https://doi.org/10.1080/03043797.2018.1534086</vt:lpwstr>
      </vt:variant>
      <vt:variant>
        <vt:lpwstr/>
      </vt:variant>
      <vt:variant>
        <vt:i4>2228326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https://doi.org/10.11120/ened.2010.05020018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https://www.sefi.be/2023/09/21/sefi-francesco-maffioli-award-recognizes-prof-dr-tinne-de-laet-and-team-for-excellence-in-student-support-services/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Munkebo Hussmann</dc:creator>
  <cp:keywords/>
  <dc:description/>
  <cp:lastModifiedBy>Klara Ferdova</cp:lastModifiedBy>
  <cp:revision>2</cp:revision>
  <dcterms:created xsi:type="dcterms:W3CDTF">2025-03-19T14:08:00Z</dcterms:created>
  <dcterms:modified xsi:type="dcterms:W3CDTF">2025-03-19T14:08:00Z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0x010100D00D94AF76225947B879C3D2EFCF4E71</vt:lpwstr>
  </property>
  <property fmtid="{D5CDD505-2E9C-101B-9397-08002B2CF9AE}" pid="3" name="MediaServiceImageTags">
    <vt:lpwstr/>
  </property>
</Properties>
</file>